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44C5" w:rsidRDefault="00E644C5" w:rsidP="00E644C5">
      <w:pPr>
        <w:spacing w:line="480" w:lineRule="auto"/>
        <w:jc w:val="center"/>
        <w:rPr>
          <w:rFonts w:ascii="Times New Roman" w:hAnsi="Times New Roman" w:cs="Times New Roman"/>
          <w:b/>
          <w:bCs/>
          <w:sz w:val="46"/>
          <w:szCs w:val="46"/>
        </w:rPr>
      </w:pPr>
      <w:r w:rsidRPr="00E644C5">
        <w:rPr>
          <w:rFonts w:ascii="Times New Roman" w:hAnsi="Times New Roman" w:cs="Times New Roman"/>
          <w:b/>
          <w:bCs/>
          <w:sz w:val="46"/>
          <w:szCs w:val="46"/>
        </w:rPr>
        <w:t xml:space="preserve">Business Group and Its Effect on </w:t>
      </w:r>
      <w:r w:rsidRPr="00E644C5">
        <w:rPr>
          <w:rFonts w:ascii="Times New Roman" w:hAnsi="Times New Roman" w:cs="Times New Roman" w:hint="eastAsia"/>
          <w:b/>
          <w:bCs/>
          <w:sz w:val="46"/>
          <w:szCs w:val="46"/>
        </w:rPr>
        <w:t>Financial Distress</w:t>
      </w:r>
      <w:r w:rsidRPr="00E644C5">
        <w:rPr>
          <w:rFonts w:ascii="Times New Roman" w:hAnsi="Times New Roman" w:cs="Times New Roman"/>
          <w:b/>
          <w:bCs/>
          <w:sz w:val="46"/>
          <w:szCs w:val="46"/>
        </w:rPr>
        <w:t xml:space="preserve"> Risk</w:t>
      </w:r>
    </w:p>
    <w:p w:rsidR="00302A42" w:rsidRPr="00525792" w:rsidRDefault="00525792" w:rsidP="00E644C5">
      <w:pPr>
        <w:spacing w:line="480" w:lineRule="auto"/>
        <w:jc w:val="center"/>
        <w:rPr>
          <w:rFonts w:ascii="Times New Roman" w:hAnsi="Times New Roman" w:cs="Times New Roman"/>
          <w:b/>
          <w:bCs/>
          <w:sz w:val="46"/>
          <w:szCs w:val="46"/>
          <w:vertAlign w:val="superscript"/>
        </w:rPr>
      </w:pPr>
      <w:r>
        <w:rPr>
          <w:rStyle w:val="a4"/>
          <w:rFonts w:ascii="Times New Roman" w:hAnsi="Times New Roman" w:cs="Times New Roman" w:hint="eastAsia"/>
          <w:sz w:val="17"/>
          <w:szCs w:val="17"/>
          <w:vertAlign w:val="baseline"/>
        </w:rPr>
        <w:t xml:space="preserve"> </w:t>
      </w:r>
    </w:p>
    <w:p w:rsidR="00E644C5" w:rsidRPr="00E644C5" w:rsidRDefault="00E644C5" w:rsidP="00E644C5">
      <w:pPr>
        <w:widowControl/>
        <w:wordWrap/>
        <w:autoSpaceDE/>
        <w:autoSpaceDN/>
        <w:spacing w:before="100" w:beforeAutospacing="1" w:after="100" w:afterAutospacing="1" w:line="420" w:lineRule="auto"/>
        <w:jc w:val="center"/>
        <w:rPr>
          <w:rFonts w:ascii="Times New Roman" w:eastAsia="굴림" w:hAnsi="Times New Roman" w:cs="Times New Roman"/>
          <w:b/>
          <w:color w:val="000000"/>
          <w:kern w:val="0"/>
          <w:sz w:val="17"/>
          <w:szCs w:val="17"/>
        </w:rPr>
      </w:pPr>
      <w:r w:rsidRPr="00E644C5">
        <w:rPr>
          <w:rFonts w:ascii="Times New Roman" w:eastAsia="굴림" w:hAnsi="Times New Roman" w:cs="Times New Roman"/>
          <w:b/>
          <w:color w:val="000000"/>
          <w:kern w:val="0"/>
          <w:sz w:val="17"/>
          <w:szCs w:val="17"/>
        </w:rPr>
        <w:t>Abstract</w:t>
      </w:r>
    </w:p>
    <w:p w:rsidR="006604C6" w:rsidRPr="006604C6" w:rsidRDefault="006604C6" w:rsidP="006604C6">
      <w:pPr>
        <w:widowControl/>
        <w:wordWrap/>
        <w:autoSpaceDE/>
        <w:autoSpaceDN/>
        <w:spacing w:before="100" w:beforeAutospacing="1" w:after="100" w:afterAutospacing="1" w:line="480" w:lineRule="auto"/>
        <w:rPr>
          <w:rFonts w:ascii="Times New Roman" w:eastAsia="굴림" w:hAnsi="Times New Roman" w:cs="Times New Roman"/>
          <w:color w:val="000000"/>
          <w:kern w:val="0"/>
          <w:sz w:val="17"/>
          <w:szCs w:val="17"/>
        </w:rPr>
      </w:pPr>
      <w:r w:rsidRPr="006604C6">
        <w:rPr>
          <w:rFonts w:ascii="Times New Roman" w:eastAsia="굴림" w:hAnsi="Times New Roman" w:cs="Times New Roman"/>
          <w:color w:val="000000"/>
          <w:kern w:val="0"/>
          <w:sz w:val="17"/>
          <w:szCs w:val="17"/>
        </w:rPr>
        <w:t>This study empirically examines the influence that business group exert</w:t>
      </w:r>
      <w:r>
        <w:rPr>
          <w:rFonts w:ascii="Times New Roman" w:eastAsia="굴림" w:hAnsi="Times New Roman" w:cs="Times New Roman" w:hint="eastAsia"/>
          <w:color w:val="000000"/>
          <w:kern w:val="0"/>
          <w:sz w:val="17"/>
          <w:szCs w:val="17"/>
        </w:rPr>
        <w:t>s</w:t>
      </w:r>
      <w:r w:rsidRPr="006604C6">
        <w:rPr>
          <w:rFonts w:ascii="Times New Roman" w:eastAsia="굴림" w:hAnsi="Times New Roman" w:cs="Times New Roman"/>
          <w:color w:val="000000"/>
          <w:kern w:val="0"/>
          <w:sz w:val="17"/>
          <w:szCs w:val="17"/>
        </w:rPr>
        <w:t xml:space="preserve"> on the financial distress risks of </w:t>
      </w:r>
      <w:r w:rsidRPr="006604C6">
        <w:rPr>
          <w:rFonts w:ascii="Times New Roman" w:eastAsia="굴림" w:hAnsi="Times New Roman" w:cs="Times New Roman" w:hint="eastAsia"/>
          <w:color w:val="000000"/>
          <w:kern w:val="0"/>
          <w:sz w:val="17"/>
          <w:szCs w:val="17"/>
        </w:rPr>
        <w:t>non-business group member firms.</w:t>
      </w:r>
      <w:r w:rsidRPr="006604C6">
        <w:rPr>
          <w:rFonts w:ascii="Times New Roman" w:eastAsia="굴림" w:hAnsi="Times New Roman" w:cs="Times New Roman"/>
          <w:color w:val="000000"/>
          <w:kern w:val="0"/>
          <w:sz w:val="17"/>
          <w:szCs w:val="17"/>
        </w:rPr>
        <w:t xml:space="preserve"> Using an index developed by </w:t>
      </w:r>
      <w:r w:rsidR="00886B05" w:rsidRPr="006604C6">
        <w:rPr>
          <w:rFonts w:ascii="Times New Roman" w:eastAsia="굴림" w:hAnsi="Times New Roman" w:cs="Times New Roman"/>
          <w:color w:val="000000"/>
          <w:kern w:val="0"/>
          <w:sz w:val="17"/>
          <w:szCs w:val="17"/>
        </w:rPr>
        <w:fldChar w:fldCharType="begin"/>
      </w:r>
      <w:r w:rsidRPr="006604C6">
        <w:rPr>
          <w:rFonts w:ascii="Times New Roman" w:eastAsia="굴림" w:hAnsi="Times New Roman" w:cs="Times New Roman"/>
          <w:color w:val="000000"/>
          <w:kern w:val="0"/>
          <w:sz w:val="17"/>
          <w:szCs w:val="17"/>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6604C6">
        <w:rPr>
          <w:rFonts w:ascii="Times New Roman" w:eastAsia="굴림" w:hAnsi="Times New Roman" w:cs="Times New Roman"/>
          <w:color w:val="000000"/>
          <w:kern w:val="0"/>
          <w:sz w:val="17"/>
          <w:szCs w:val="17"/>
        </w:rPr>
        <w:fldChar w:fldCharType="separate"/>
      </w:r>
      <w:hyperlink w:anchor="_ENREF_1" w:tooltip="Liu, 2016 #130" w:history="1">
        <w:r w:rsidRPr="006604C6">
          <w:rPr>
            <w:rFonts w:ascii="Times New Roman" w:eastAsia="굴림" w:hAnsi="Times New Roman" w:cs="Times New Roman"/>
            <w:noProof/>
            <w:color w:val="000000"/>
            <w:kern w:val="0"/>
            <w:sz w:val="17"/>
            <w:szCs w:val="17"/>
          </w:rPr>
          <w:t>Liu et al. (2016</w:t>
        </w:r>
      </w:hyperlink>
      <w:r w:rsidRPr="006604C6">
        <w:rPr>
          <w:rFonts w:ascii="Times New Roman" w:eastAsia="굴림" w:hAnsi="Times New Roman" w:cs="Times New Roman"/>
          <w:noProof/>
          <w:color w:val="000000"/>
          <w:kern w:val="0"/>
          <w:sz w:val="17"/>
          <w:szCs w:val="17"/>
        </w:rPr>
        <w:t>)</w:t>
      </w:r>
      <w:r w:rsidR="00886B05" w:rsidRPr="006604C6">
        <w:rPr>
          <w:rFonts w:ascii="Times New Roman" w:eastAsia="굴림" w:hAnsi="Times New Roman" w:cs="Times New Roman"/>
          <w:color w:val="000000"/>
          <w:kern w:val="0"/>
          <w:sz w:val="17"/>
          <w:szCs w:val="17"/>
        </w:rPr>
        <w:fldChar w:fldCharType="end"/>
      </w:r>
      <w:r w:rsidRPr="006604C6">
        <w:rPr>
          <w:rFonts w:ascii="Times New Roman" w:eastAsia="굴림" w:hAnsi="Times New Roman" w:cs="Times New Roman" w:hint="eastAsia"/>
          <w:color w:val="000000"/>
          <w:kern w:val="0"/>
          <w:sz w:val="17"/>
          <w:szCs w:val="17"/>
        </w:rPr>
        <w:t xml:space="preserve"> as a measure of business group influence at industry level</w:t>
      </w:r>
      <w:r w:rsidRPr="006604C6">
        <w:rPr>
          <w:rFonts w:ascii="Times New Roman" w:eastAsia="굴림" w:hAnsi="Times New Roman" w:cs="Times New Roman"/>
          <w:color w:val="000000"/>
          <w:kern w:val="0"/>
          <w:sz w:val="17"/>
          <w:szCs w:val="17"/>
        </w:rPr>
        <w:t>,</w:t>
      </w:r>
      <w:r w:rsidRPr="006604C6">
        <w:rPr>
          <w:rFonts w:ascii="Times New Roman" w:eastAsia="굴림" w:hAnsi="Times New Roman" w:cs="Times New Roman" w:hint="eastAsia"/>
          <w:color w:val="000000"/>
          <w:kern w:val="0"/>
          <w:sz w:val="17"/>
          <w:szCs w:val="17"/>
        </w:rPr>
        <w:t xml:space="preserve"> </w:t>
      </w:r>
      <w:r w:rsidRPr="006604C6">
        <w:rPr>
          <w:rFonts w:ascii="Times New Roman" w:eastAsia="굴림" w:hAnsi="Times New Roman" w:cs="Times New Roman"/>
          <w:color w:val="000000"/>
          <w:kern w:val="0"/>
          <w:sz w:val="17"/>
          <w:szCs w:val="17"/>
        </w:rPr>
        <w:t xml:space="preserve">we show that the </w:t>
      </w:r>
      <w:r w:rsidRPr="006604C6">
        <w:rPr>
          <w:rFonts w:ascii="Times New Roman" w:eastAsia="굴림" w:hAnsi="Times New Roman" w:cs="Times New Roman" w:hint="eastAsia"/>
          <w:color w:val="000000"/>
          <w:kern w:val="0"/>
          <w:sz w:val="17"/>
          <w:szCs w:val="17"/>
        </w:rPr>
        <w:t xml:space="preserve">stronger the business </w:t>
      </w:r>
      <w:r w:rsidRPr="006604C6">
        <w:rPr>
          <w:rFonts w:ascii="Times New Roman" w:eastAsia="굴림" w:hAnsi="Times New Roman" w:cs="Times New Roman"/>
          <w:color w:val="000000"/>
          <w:kern w:val="0"/>
          <w:sz w:val="17"/>
          <w:szCs w:val="17"/>
        </w:rPr>
        <w:t>group</w:t>
      </w:r>
      <w:r w:rsidRPr="006604C6">
        <w:rPr>
          <w:rFonts w:ascii="Times New Roman" w:eastAsia="굴림" w:hAnsi="Times New Roman" w:cs="Times New Roman" w:hint="eastAsia"/>
          <w:color w:val="000000"/>
          <w:kern w:val="0"/>
          <w:sz w:val="17"/>
          <w:szCs w:val="17"/>
        </w:rPr>
        <w:t xml:space="preserve"> influence is, the higher</w:t>
      </w:r>
      <w:r w:rsidR="00525792">
        <w:rPr>
          <w:rFonts w:ascii="Times New Roman" w:eastAsia="굴림" w:hAnsi="Times New Roman" w:cs="Times New Roman"/>
          <w:color w:val="000000"/>
          <w:kern w:val="0"/>
          <w:sz w:val="17"/>
          <w:szCs w:val="17"/>
        </w:rPr>
        <w:t xml:space="preserve"> the financial distress risk of</w:t>
      </w:r>
      <w:r w:rsidR="00525792">
        <w:rPr>
          <w:rFonts w:ascii="Times New Roman" w:eastAsia="굴림" w:hAnsi="Times New Roman" w:cs="Times New Roman" w:hint="eastAsia"/>
          <w:color w:val="000000"/>
          <w:kern w:val="0"/>
          <w:sz w:val="17"/>
          <w:szCs w:val="17"/>
        </w:rPr>
        <w:t xml:space="preserve"> </w:t>
      </w:r>
      <w:r w:rsidRPr="006604C6">
        <w:rPr>
          <w:rFonts w:ascii="Times New Roman" w:eastAsia="굴림" w:hAnsi="Times New Roman" w:cs="Times New Roman"/>
          <w:color w:val="000000"/>
          <w:kern w:val="0"/>
          <w:sz w:val="17"/>
          <w:szCs w:val="17"/>
        </w:rPr>
        <w:t>non-business group member firms in the same industry</w:t>
      </w:r>
      <w:r w:rsidRPr="006604C6">
        <w:rPr>
          <w:rFonts w:ascii="Times New Roman" w:eastAsia="굴림" w:hAnsi="Times New Roman" w:cs="Times New Roman" w:hint="eastAsia"/>
          <w:color w:val="000000"/>
          <w:kern w:val="0"/>
          <w:sz w:val="17"/>
          <w:szCs w:val="17"/>
        </w:rPr>
        <w:t xml:space="preserve"> </w:t>
      </w:r>
      <w:r w:rsidR="00525792">
        <w:rPr>
          <w:rFonts w:ascii="Times New Roman" w:eastAsia="굴림" w:hAnsi="Times New Roman" w:cs="Times New Roman" w:hint="eastAsia"/>
          <w:color w:val="000000"/>
          <w:kern w:val="0"/>
          <w:sz w:val="17"/>
          <w:szCs w:val="17"/>
        </w:rPr>
        <w:t xml:space="preserve">and the entire industry </w:t>
      </w:r>
      <w:r w:rsidRPr="006604C6">
        <w:rPr>
          <w:rFonts w:ascii="Times New Roman" w:eastAsia="굴림" w:hAnsi="Times New Roman" w:cs="Times New Roman" w:hint="eastAsia"/>
          <w:color w:val="000000"/>
          <w:kern w:val="0"/>
          <w:sz w:val="17"/>
          <w:szCs w:val="17"/>
        </w:rPr>
        <w:t>is. We also find that</w:t>
      </w:r>
      <w:r w:rsidRPr="006604C6">
        <w:rPr>
          <w:rFonts w:ascii="Times New Roman" w:eastAsia="굴림" w:hAnsi="Times New Roman" w:cs="Times New Roman"/>
          <w:color w:val="000000"/>
          <w:kern w:val="0"/>
          <w:sz w:val="17"/>
          <w:szCs w:val="17"/>
        </w:rPr>
        <w:t xml:space="preserve"> the influence of business group comes from the existence of the internal capital market among business group member firms</w:t>
      </w:r>
      <w:r w:rsidRPr="006604C6">
        <w:rPr>
          <w:rFonts w:ascii="Times New Roman" w:eastAsia="굴림" w:hAnsi="Times New Roman" w:cs="Times New Roman" w:hint="eastAsia"/>
          <w:color w:val="000000"/>
          <w:kern w:val="0"/>
          <w:sz w:val="17"/>
          <w:szCs w:val="17"/>
        </w:rPr>
        <w:t>.</w:t>
      </w:r>
      <w:r w:rsidR="00525792">
        <w:rPr>
          <w:rFonts w:ascii="Times New Roman" w:eastAsia="굴림" w:hAnsi="Times New Roman" w:cs="Times New Roman" w:hint="eastAsia"/>
          <w:color w:val="000000"/>
          <w:kern w:val="0"/>
          <w:sz w:val="17"/>
          <w:szCs w:val="17"/>
        </w:rPr>
        <w:t xml:space="preserve"> </w:t>
      </w:r>
      <w:r w:rsidRPr="006604C6">
        <w:rPr>
          <w:rFonts w:ascii="Times New Roman" w:eastAsia="굴림" w:hAnsi="Times New Roman" w:cs="Times New Roman" w:hint="eastAsia"/>
          <w:color w:val="000000"/>
          <w:kern w:val="0"/>
          <w:sz w:val="17"/>
          <w:szCs w:val="17"/>
        </w:rPr>
        <w:t>T</w:t>
      </w:r>
      <w:r w:rsidRPr="006604C6">
        <w:rPr>
          <w:rFonts w:ascii="Times New Roman" w:eastAsia="굴림" w:hAnsi="Times New Roman" w:cs="Times New Roman"/>
          <w:color w:val="000000"/>
          <w:kern w:val="0"/>
          <w:sz w:val="17"/>
          <w:szCs w:val="17"/>
        </w:rPr>
        <w:t>he influence of business group is stronger for non-business group member firms with high degree of financial constraint and when the external capital market experiences a negative shock. Overall, these results indicate that the existence of business group</w:t>
      </w:r>
      <w:r w:rsidRPr="006604C6">
        <w:rPr>
          <w:rFonts w:ascii="Times New Roman" w:eastAsia="굴림" w:hAnsi="Times New Roman" w:cs="Times New Roman" w:hint="eastAsia"/>
          <w:color w:val="000000"/>
          <w:kern w:val="0"/>
          <w:sz w:val="17"/>
          <w:szCs w:val="17"/>
        </w:rPr>
        <w:t xml:space="preserve"> could be detrimental to </w:t>
      </w:r>
      <w:r w:rsidRPr="006604C6">
        <w:rPr>
          <w:rFonts w:ascii="Times New Roman" w:eastAsia="굴림" w:hAnsi="Times New Roman" w:cs="Times New Roman"/>
          <w:color w:val="000000"/>
          <w:kern w:val="0"/>
          <w:sz w:val="17"/>
          <w:szCs w:val="17"/>
        </w:rPr>
        <w:t>the financial health of other firms in the economy.</w:t>
      </w:r>
    </w:p>
    <w:p w:rsidR="006604C6" w:rsidRDefault="006604C6" w:rsidP="00E644C5">
      <w:pPr>
        <w:widowControl/>
        <w:wordWrap/>
        <w:autoSpaceDE/>
        <w:autoSpaceDN/>
        <w:spacing w:before="100" w:beforeAutospacing="1" w:after="100" w:afterAutospacing="1" w:line="420" w:lineRule="auto"/>
        <w:rPr>
          <w:rFonts w:ascii="Times New Roman" w:eastAsia="굴림" w:hAnsi="Times New Roman" w:cs="Times New Roman"/>
          <w:color w:val="000000"/>
          <w:kern w:val="0"/>
          <w:sz w:val="17"/>
          <w:szCs w:val="17"/>
        </w:rPr>
      </w:pPr>
    </w:p>
    <w:p w:rsidR="00E644C5" w:rsidRPr="00E644C5" w:rsidRDefault="00E644C5" w:rsidP="00E644C5">
      <w:pPr>
        <w:widowControl/>
        <w:wordWrap/>
        <w:autoSpaceDE/>
        <w:autoSpaceDN/>
        <w:spacing w:before="100" w:beforeAutospacing="1" w:after="100" w:afterAutospacing="1" w:line="420" w:lineRule="auto"/>
        <w:rPr>
          <w:rFonts w:ascii="Times New Roman" w:eastAsia="굴림" w:hAnsi="Times New Roman" w:cs="Times New Roman"/>
          <w:color w:val="000000"/>
          <w:kern w:val="0"/>
          <w:sz w:val="17"/>
          <w:szCs w:val="17"/>
        </w:rPr>
      </w:pPr>
      <w:r w:rsidRPr="00E644C5">
        <w:rPr>
          <w:rFonts w:ascii="Times New Roman" w:eastAsia="굴림" w:hAnsi="Times New Roman" w:cs="Times New Roman"/>
          <w:color w:val="000000"/>
          <w:kern w:val="0"/>
          <w:sz w:val="17"/>
          <w:szCs w:val="17"/>
        </w:rPr>
        <w:t xml:space="preserve">Keywords: Business group, </w:t>
      </w:r>
      <w:proofErr w:type="gramStart"/>
      <w:r w:rsidRPr="00E644C5">
        <w:rPr>
          <w:rFonts w:ascii="Times New Roman" w:eastAsia="굴림" w:hAnsi="Times New Roman" w:cs="Times New Roman"/>
          <w:color w:val="000000"/>
          <w:kern w:val="0"/>
          <w:sz w:val="17"/>
          <w:szCs w:val="17"/>
        </w:rPr>
        <w:t>Internal</w:t>
      </w:r>
      <w:proofErr w:type="gramEnd"/>
      <w:r w:rsidRPr="00E644C5">
        <w:rPr>
          <w:rFonts w:ascii="Times New Roman" w:eastAsia="굴림" w:hAnsi="Times New Roman" w:cs="Times New Roman"/>
          <w:color w:val="000000"/>
          <w:kern w:val="0"/>
          <w:sz w:val="17"/>
          <w:szCs w:val="17"/>
        </w:rPr>
        <w:t xml:space="preserve"> capital market, Externality, Financial distress risk</w:t>
      </w:r>
    </w:p>
    <w:p w:rsidR="00E644C5" w:rsidRDefault="00E644C5">
      <w:pPr>
        <w:widowControl/>
        <w:wordWrap/>
        <w:autoSpaceDE/>
        <w:autoSpaceDN/>
      </w:pPr>
      <w:r>
        <w:br w:type="page"/>
      </w:r>
    </w:p>
    <w:p w:rsidR="00E644C5" w:rsidRDefault="00E644C5" w:rsidP="00E644C5">
      <w:pPr>
        <w:sectPr w:rsidR="00E644C5" w:rsidSect="007A5303">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20" w:footer="720" w:gutter="0"/>
          <w:cols w:space="720"/>
          <w:titlePg/>
          <w:docGrid w:linePitch="360"/>
        </w:sectPr>
      </w:pPr>
    </w:p>
    <w:p w:rsidR="00C44EF7" w:rsidRPr="00C44EF7" w:rsidRDefault="00886B05" w:rsidP="00C44EF7">
      <w:pPr>
        <w:spacing w:line="420" w:lineRule="auto"/>
        <w:contextualSpacing/>
        <w:rPr>
          <w:rFonts w:ascii="Times New Roman" w:hAnsi="Times New Roman" w:cs="Times New Roman"/>
          <w:b/>
          <w:sz w:val="30"/>
          <w:szCs w:val="30"/>
        </w:rPr>
      </w:pPr>
      <w:r>
        <w:rPr>
          <w:rFonts w:ascii="Times New Roman" w:hAnsi="Times New Roman" w:cs="Times New Roman"/>
          <w:b/>
          <w:sz w:val="30"/>
          <w:szCs w:val="30"/>
        </w:rPr>
        <w:lastRenderedPageBreak/>
        <w:fldChar w:fldCharType="begin"/>
      </w:r>
      <w:r w:rsidR="00C44EF7">
        <w:rPr>
          <w:rFonts w:ascii="Times New Roman" w:eastAsia="SimSun" w:hAnsi="Times New Roman" w:cs="Times New Roman"/>
          <w:b/>
          <w:sz w:val="30"/>
          <w:szCs w:val="30"/>
          <w:lang w:eastAsia="zh-CN"/>
        </w:rPr>
        <w:instrText xml:space="preserve"> </w:instrText>
      </w:r>
      <w:r w:rsidR="00C44EF7">
        <w:rPr>
          <w:rFonts w:ascii="Times New Roman" w:eastAsia="SimSun" w:hAnsi="Times New Roman" w:cs="Times New Roman" w:hint="eastAsia"/>
          <w:b/>
          <w:sz w:val="30"/>
          <w:szCs w:val="30"/>
          <w:lang w:eastAsia="zh-CN"/>
        </w:rPr>
        <w:instrText>= 1 \* ROMAN</w:instrText>
      </w:r>
      <w:r w:rsidR="00C44EF7">
        <w:rPr>
          <w:rFonts w:ascii="Times New Roman" w:eastAsia="SimSun" w:hAnsi="Times New Roman" w:cs="Times New Roman"/>
          <w:b/>
          <w:sz w:val="30"/>
          <w:szCs w:val="30"/>
          <w:lang w:eastAsia="zh-CN"/>
        </w:rPr>
        <w:instrText xml:space="preserve"> </w:instrText>
      </w:r>
      <w:r>
        <w:rPr>
          <w:rFonts w:ascii="Times New Roman" w:hAnsi="Times New Roman" w:cs="Times New Roman"/>
          <w:b/>
          <w:sz w:val="30"/>
          <w:szCs w:val="30"/>
        </w:rPr>
        <w:fldChar w:fldCharType="separate"/>
      </w:r>
      <w:r w:rsidR="00C44EF7">
        <w:rPr>
          <w:rFonts w:ascii="Times New Roman" w:eastAsia="SimSun" w:hAnsi="Times New Roman" w:cs="Times New Roman"/>
          <w:b/>
          <w:noProof/>
          <w:sz w:val="30"/>
          <w:szCs w:val="30"/>
          <w:lang w:eastAsia="zh-CN"/>
        </w:rPr>
        <w:t>I</w:t>
      </w:r>
      <w:r>
        <w:rPr>
          <w:rFonts w:ascii="Times New Roman" w:hAnsi="Times New Roman" w:cs="Times New Roman"/>
          <w:b/>
          <w:sz w:val="30"/>
          <w:szCs w:val="30"/>
        </w:rPr>
        <w:fldChar w:fldCharType="end"/>
      </w:r>
      <w:r w:rsidR="00C44EF7" w:rsidRPr="00C44EF7">
        <w:rPr>
          <w:rFonts w:ascii="Times New Roman" w:hAnsi="Times New Roman" w:cs="Times New Roman"/>
          <w:b/>
          <w:sz w:val="30"/>
          <w:szCs w:val="30"/>
        </w:rPr>
        <w:t>. Introduction</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szCs w:val="20"/>
        </w:rPr>
        <w:t>In this study, we shed a light on the effects of business group on other participants of an economy, especially on non-business group member firms (non-member firms, hereafter). Previous studies examine the various issues on business group since business group is quite a common organizational form in most emerging economies and even some developed countries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&lt;EndNote&gt;&lt;Cite&gt;&lt;Author&gt;Khanna&lt;/Author&gt;&lt;Year&gt;2007&lt;/Year&gt;&lt;RecNum&gt;55&lt;/RecNum&gt;&lt;DisplayText&gt;Khanna and Yafeh (2007)&lt;/DisplayText&gt;&lt;record&gt;&lt;rec-number&gt;55&lt;/rec-number&gt;&lt;foreign-keys&gt;&lt;key app="EN" db-id="0w9rezxppe2pzrezf0lpzvz3rp29t2ds5e5t"&gt;55&lt;/key&gt;&lt;/foreign-keys&gt;&lt;ref-type name="Journal Article"&gt;17&lt;/ref-type&gt;&lt;contributors&gt;&lt;authors&gt;&lt;author&gt;Khanna, Tarun&lt;/author&gt;&lt;author&gt;Yafeh, Yishay&lt;/author&gt;&lt;/authors&gt;&lt;/contributors&gt;&lt;titles&gt;&lt;title&gt;Business Groups in Emerging Markets: Paragons or Parasites?&lt;/title&gt;&lt;secondary-title&gt;Journal of Economic Literature&lt;/secondary-title&gt;&lt;/titles&gt;&lt;periodical&gt;&lt;full-title&gt;Journal of Economic Literature&lt;/full-title&gt;&lt;/periodical&gt;&lt;pages&gt;331-372&lt;/pages&gt;&lt;volume&gt;45&lt;/volume&gt;&lt;number&gt;2&lt;/number&gt;&lt;dates&gt;&lt;year&gt;2007&lt;/year&gt;&lt;/dates&gt;&lt;publisher&gt;American Economic Association&lt;/publisher&gt;&lt;isbn&gt;00220515&lt;/isbn&gt;&lt;urls&gt;&lt;related-urls&gt;&lt;url&gt;http://www.jstor.org/stable/27646796&lt;/url&gt;&lt;/related-urls&gt;&lt;/urls&gt;&lt;electronic-resource-num&gt;10.2307/27646796&lt;/electronic-resource-num&gt;&lt;/record&gt;&lt;/Cite&gt;&lt;/EndNote&gt;</w:instrText>
      </w:r>
      <w:r w:rsidR="00886B05" w:rsidRPr="00C44EF7">
        <w:rPr>
          <w:rFonts w:ascii="Times New Roman" w:hAnsi="Times New Roman" w:cs="Times New Roman"/>
          <w:szCs w:val="20"/>
        </w:rPr>
        <w:fldChar w:fldCharType="separate"/>
      </w:r>
      <w:hyperlink w:anchor="_ENREF_22" w:tooltip="Khanna, 2007 #55" w:history="1">
        <w:r w:rsidR="00710C45" w:rsidRPr="00C44EF7">
          <w:rPr>
            <w:rFonts w:ascii="Times New Roman" w:hAnsi="Times New Roman" w:cs="Times New Roman"/>
            <w:szCs w:val="20"/>
          </w:rPr>
          <w:t>Khanna and Yafeh (2007</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The issues studied in prior studies include the disparity in control and cash flow rights and its effect on firm valuation, the performance comparison between business group member firms (m</w:t>
      </w:r>
      <w:r w:rsidR="00525792">
        <w:rPr>
          <w:rFonts w:ascii="Times New Roman" w:hAnsi="Times New Roman" w:cs="Times New Roman"/>
          <w:szCs w:val="20"/>
        </w:rPr>
        <w:t>ember firms, hereafter) and non</w:t>
      </w:r>
      <w:r w:rsidR="00525792">
        <w:rPr>
          <w:rFonts w:ascii="Times New Roman" w:hAnsi="Times New Roman" w:cs="Times New Roman" w:hint="eastAsia"/>
          <w:szCs w:val="20"/>
        </w:rPr>
        <w:t>-</w:t>
      </w:r>
      <w:r w:rsidRPr="00C44EF7">
        <w:rPr>
          <w:rFonts w:ascii="Times New Roman" w:hAnsi="Times New Roman" w:cs="Times New Roman"/>
          <w:szCs w:val="20"/>
        </w:rPr>
        <w:t>member firms, the efficiency of internal capital market in business groups</w:t>
      </w:r>
      <w:r w:rsidR="007852F2">
        <w:rPr>
          <w:rFonts w:ascii="Times New Roman" w:hAnsi="Times New Roman" w:cs="Times New Roman"/>
          <w:szCs w:val="20"/>
        </w:rPr>
        <w:t>,</w:t>
      </w:r>
      <w:r w:rsidRPr="00C44EF7">
        <w:rPr>
          <w:rFonts w:ascii="Times New Roman" w:hAnsi="Times New Roman" w:cs="Times New Roman"/>
          <w:szCs w:val="20"/>
        </w:rPr>
        <w:t xml:space="preserve"> etc.</w:t>
      </w:r>
      <w:r w:rsidRPr="00AF7111">
        <w:rPr>
          <w:rStyle w:val="a4"/>
          <w:rFonts w:ascii="Times New Roman" w:hAnsi="Times New Roman" w:cs="Times New Roman"/>
        </w:rPr>
        <w:footnoteReference w:id="1"/>
      </w:r>
      <w:r>
        <w:rPr>
          <w:rFonts w:ascii="Times New Roman" w:hAnsi="Times New Roman" w:cs="Times New Roman"/>
          <w:szCs w:val="20"/>
        </w:rPr>
        <w:t xml:space="preserve"> </w:t>
      </w:r>
      <w:r w:rsidRPr="00C44EF7">
        <w:rPr>
          <w:rFonts w:ascii="Times New Roman" w:hAnsi="Times New Roman" w:cs="Times New Roman" w:hint="eastAsia"/>
          <w:szCs w:val="20"/>
        </w:rPr>
        <w:t xml:space="preserve">The effects of business groups on non-member firms, or </w:t>
      </w:r>
      <w:r w:rsidRPr="00C44EF7">
        <w:rPr>
          <w:rFonts w:ascii="Times New Roman" w:hAnsi="Times New Roman" w:cs="Times New Roman"/>
          <w:szCs w:val="20"/>
        </w:rPr>
        <w:t>“</w:t>
      </w:r>
      <w:r w:rsidRPr="00C44EF7">
        <w:rPr>
          <w:rFonts w:ascii="Times New Roman" w:hAnsi="Times New Roman" w:cs="Times New Roman" w:hint="eastAsia"/>
          <w:szCs w:val="20"/>
        </w:rPr>
        <w:t>the externalities of business group</w:t>
      </w:r>
      <w:r w:rsidRPr="00C44EF7">
        <w:rPr>
          <w:rFonts w:ascii="Times New Roman" w:hAnsi="Times New Roman" w:cs="Times New Roman"/>
          <w:szCs w:val="20"/>
        </w:rPr>
        <w:t>”</w:t>
      </w:r>
      <w:r w:rsidRPr="00C44EF7">
        <w:rPr>
          <w:rFonts w:ascii="Times New Roman" w:hAnsi="Times New Roman" w:cs="Times New Roman" w:hint="eastAsia"/>
          <w:szCs w:val="20"/>
        </w:rPr>
        <w:t xml:space="preserve">, however, have been relatively neglected in the literature. A few exceptions are Almeida and </w:t>
      </w:r>
      <w:proofErr w:type="spellStart"/>
      <w:r w:rsidRPr="00C44EF7">
        <w:rPr>
          <w:rFonts w:ascii="Times New Roman" w:hAnsi="Times New Roman" w:cs="Times New Roman" w:hint="eastAsia"/>
          <w:szCs w:val="20"/>
        </w:rPr>
        <w:t>Wolfenzon</w:t>
      </w:r>
      <w:proofErr w:type="spellEnd"/>
      <w:r w:rsidRPr="00C44EF7">
        <w:rPr>
          <w:rFonts w:ascii="Times New Roman" w:hAnsi="Times New Roman" w:cs="Times New Roman" w:hint="eastAsia"/>
          <w:szCs w:val="20"/>
        </w:rPr>
        <w:t xml:space="preserve"> (2006), </w:t>
      </w:r>
      <w:proofErr w:type="spellStart"/>
      <w:r w:rsidRPr="00C44EF7">
        <w:rPr>
          <w:rFonts w:ascii="Times New Roman" w:hAnsi="Times New Roman" w:cs="Times New Roman" w:hint="eastAsia"/>
          <w:szCs w:val="20"/>
        </w:rPr>
        <w:t>Boutin</w:t>
      </w:r>
      <w:proofErr w:type="spellEnd"/>
      <w:r w:rsidRPr="00C44EF7">
        <w:rPr>
          <w:rFonts w:ascii="Times New Roman" w:hAnsi="Times New Roman" w:cs="Times New Roman" w:hint="eastAsia"/>
          <w:szCs w:val="20"/>
        </w:rPr>
        <w:t xml:space="preserve"> et al. (2013), and Liu et al. (2016). We </w:t>
      </w:r>
      <w:r w:rsidRPr="00C44EF7">
        <w:rPr>
          <w:rFonts w:ascii="Times New Roman" w:hAnsi="Times New Roman" w:cs="Times New Roman"/>
          <w:szCs w:val="20"/>
        </w:rPr>
        <w:t>attempt</w:t>
      </w:r>
      <w:r w:rsidRPr="00C44EF7">
        <w:rPr>
          <w:rFonts w:ascii="Times New Roman" w:hAnsi="Times New Roman" w:cs="Times New Roman" w:hint="eastAsia"/>
          <w:szCs w:val="20"/>
        </w:rPr>
        <w:t xml:space="preserve"> to fill this gap.</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Almeida and </w:t>
      </w:r>
      <w:proofErr w:type="spellStart"/>
      <w:r w:rsidRPr="00C44EF7">
        <w:rPr>
          <w:rFonts w:ascii="Times New Roman" w:hAnsi="Times New Roman" w:cs="Times New Roman" w:hint="eastAsia"/>
          <w:szCs w:val="20"/>
        </w:rPr>
        <w:t>Wolfenzon</w:t>
      </w:r>
      <w:proofErr w:type="spellEnd"/>
      <w:r w:rsidRPr="00C44EF7">
        <w:rPr>
          <w:rFonts w:ascii="Times New Roman" w:hAnsi="Times New Roman" w:cs="Times New Roman" w:hint="eastAsia"/>
          <w:szCs w:val="20"/>
        </w:rPr>
        <w:t xml:space="preserve"> (2006) states that </w:t>
      </w:r>
      <w:r w:rsidRPr="00263B42">
        <w:rPr>
          <w:rFonts w:ascii="Times New Roman" w:hAnsi="Times New Roman" w:cs="Times New Roman"/>
          <w:i/>
          <w:szCs w:val="20"/>
        </w:rPr>
        <w:t>“…</w:t>
      </w:r>
      <w:r w:rsidRPr="00263B42">
        <w:rPr>
          <w:rFonts w:ascii="Times New Roman" w:hAnsi="Times New Roman" w:cs="Times New Roman" w:hint="eastAsia"/>
          <w:i/>
          <w:szCs w:val="20"/>
        </w:rPr>
        <w:t xml:space="preserve"> </w:t>
      </w:r>
      <w:r w:rsidRPr="00263B42">
        <w:rPr>
          <w:rFonts w:ascii="Times New Roman" w:hAnsi="Times New Roman" w:cs="Times New Roman"/>
          <w:i/>
          <w:szCs w:val="20"/>
        </w:rPr>
        <w:t>even if conglomerates’ internal capital markets were efficient …, one could not infer that the presence of conglomerates</w:t>
      </w:r>
      <w:r w:rsidRPr="00AF7111">
        <w:rPr>
          <w:rStyle w:val="a4"/>
          <w:rFonts w:ascii="Times New Roman" w:hAnsi="Times New Roman" w:cs="Times New Roman"/>
        </w:rPr>
        <w:footnoteReference w:id="2"/>
      </w:r>
      <w:r w:rsidRPr="00263B42">
        <w:rPr>
          <w:rFonts w:ascii="Times New Roman" w:hAnsi="Times New Roman" w:cs="Times New Roman"/>
          <w:i/>
          <w:szCs w:val="20"/>
        </w:rPr>
        <w:t xml:space="preserve"> should be encouraged because the benefits of efficient internal capital markets could be outweighed by the negative externalities that conglomerates impose on other firms in the economy</w:t>
      </w:r>
      <w:r w:rsidRPr="00C44EF7">
        <w:rPr>
          <w:rFonts w:ascii="Times New Roman" w:hAnsi="Times New Roman" w:cs="Times New Roman"/>
          <w:szCs w:val="20"/>
        </w:rPr>
        <w:t>.”</w:t>
      </w:r>
      <w:r w:rsidRPr="00C44EF7">
        <w:rPr>
          <w:rFonts w:ascii="Times New Roman" w:hAnsi="Times New Roman" w:cs="Times New Roman" w:hint="eastAsia"/>
          <w:szCs w:val="20"/>
        </w:rPr>
        <w:t xml:space="preserve"> In their study, they develop a </w:t>
      </w:r>
      <w:r w:rsidRPr="00C44EF7">
        <w:rPr>
          <w:rFonts w:ascii="Times New Roman" w:hAnsi="Times New Roman" w:cs="Times New Roman"/>
          <w:szCs w:val="20"/>
        </w:rPr>
        <w:t>theoretical</w:t>
      </w:r>
      <w:r w:rsidRPr="00C44EF7">
        <w:rPr>
          <w:rFonts w:ascii="Times New Roman" w:hAnsi="Times New Roman" w:cs="Times New Roman" w:hint="eastAsia"/>
          <w:szCs w:val="20"/>
        </w:rPr>
        <w:t xml:space="preserve"> model where they examine the effect of internal capital market within business groups on external capital market and conclude that when the financial market is less developed, the existence of </w:t>
      </w:r>
      <w:r w:rsidRPr="00C44EF7">
        <w:rPr>
          <w:rFonts w:ascii="Times New Roman" w:hAnsi="Times New Roman" w:cs="Times New Roman"/>
          <w:szCs w:val="20"/>
        </w:rPr>
        <w:t xml:space="preserve">business groups could be detrimental to the investment efficiency of the entire economy or at least non-member firms </w:t>
      </w:r>
      <w:r w:rsidRPr="00C44EF7">
        <w:rPr>
          <w:rFonts w:ascii="Times New Roman" w:hAnsi="Times New Roman" w:cs="Times New Roman" w:hint="eastAsia"/>
          <w:szCs w:val="20"/>
        </w:rPr>
        <w:t>due to</w:t>
      </w:r>
      <w:r w:rsidRPr="00C44EF7">
        <w:rPr>
          <w:rFonts w:ascii="Times New Roman" w:hAnsi="Times New Roman" w:cs="Times New Roman"/>
          <w:szCs w:val="20"/>
        </w:rPr>
        <w:t xml:space="preserve"> their negative external effect on the capital allocation of the external capital market. </w:t>
      </w:r>
      <w:r w:rsidRPr="00C44EF7">
        <w:rPr>
          <w:rFonts w:ascii="Times New Roman" w:hAnsi="Times New Roman" w:cs="Times New Roman" w:hint="eastAsia"/>
          <w:szCs w:val="20"/>
        </w:rPr>
        <w:t xml:space="preserve">To our best knowledge, there are only two studies that provide empirical </w:t>
      </w:r>
      <w:r w:rsidRPr="00C44EF7">
        <w:rPr>
          <w:rFonts w:ascii="Times New Roman" w:hAnsi="Times New Roman" w:cs="Times New Roman"/>
          <w:szCs w:val="20"/>
        </w:rPr>
        <w:t>evidences</w:t>
      </w:r>
      <w:r w:rsidRPr="00C44EF7">
        <w:rPr>
          <w:rFonts w:ascii="Times New Roman" w:hAnsi="Times New Roman" w:cs="Times New Roman" w:hint="eastAsia"/>
          <w:szCs w:val="20"/>
        </w:rPr>
        <w:t xml:space="preserve"> on the </w:t>
      </w:r>
      <w:proofErr w:type="spellStart"/>
      <w:r w:rsidRPr="00C44EF7">
        <w:rPr>
          <w:rFonts w:ascii="Times New Roman" w:hAnsi="Times New Roman" w:cs="Times New Roman" w:hint="eastAsia"/>
          <w:szCs w:val="20"/>
        </w:rPr>
        <w:t>externalties</w:t>
      </w:r>
      <w:proofErr w:type="spellEnd"/>
      <w:r w:rsidRPr="00C44EF7">
        <w:rPr>
          <w:rFonts w:ascii="Times New Roman" w:hAnsi="Times New Roman" w:cs="Times New Roman" w:hint="eastAsia"/>
          <w:szCs w:val="20"/>
        </w:rPr>
        <w:t xml:space="preserve"> of business groups. </w:t>
      </w:r>
      <w:proofErr w:type="spellStart"/>
      <w:r w:rsidRPr="00C44EF7">
        <w:rPr>
          <w:rFonts w:ascii="Times New Roman" w:hAnsi="Times New Roman" w:cs="Times New Roman" w:hint="eastAsia"/>
          <w:szCs w:val="20"/>
        </w:rPr>
        <w:t>Boutin</w:t>
      </w:r>
      <w:proofErr w:type="spellEnd"/>
      <w:r w:rsidRPr="00C44EF7">
        <w:rPr>
          <w:rFonts w:ascii="Times New Roman" w:hAnsi="Times New Roman" w:cs="Times New Roman" w:hint="eastAsia"/>
          <w:szCs w:val="20"/>
        </w:rPr>
        <w:t xml:space="preserve"> et al. (2013) examines</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how financial strength of business groups can affect product market competition. Specifically, they show that when non-member firms try to enter the same industry as </w:t>
      </w:r>
      <w:r w:rsidRPr="00C44EF7">
        <w:rPr>
          <w:rFonts w:ascii="Times New Roman" w:hAnsi="Times New Roman" w:cs="Times New Roman"/>
          <w:szCs w:val="20"/>
        </w:rPr>
        <w:t>business</w:t>
      </w:r>
      <w:r w:rsidRPr="00C44EF7">
        <w:rPr>
          <w:rFonts w:ascii="Times New Roman" w:hAnsi="Times New Roman" w:cs="Times New Roman" w:hint="eastAsia"/>
          <w:szCs w:val="20"/>
        </w:rPr>
        <w:t>-group member firms belong to,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entry (exit) rate decreases (increases) if </w:t>
      </w:r>
      <w:r w:rsidRPr="00C44EF7">
        <w:rPr>
          <w:rFonts w:ascii="Times New Roman" w:hAnsi="Times New Roman" w:cs="Times New Roman"/>
          <w:szCs w:val="20"/>
        </w:rPr>
        <w:t xml:space="preserve">incumbent </w:t>
      </w:r>
      <w:r w:rsidRPr="00C44EF7">
        <w:rPr>
          <w:rFonts w:ascii="Times New Roman" w:hAnsi="Times New Roman" w:cs="Times New Roman" w:hint="eastAsia"/>
          <w:szCs w:val="20"/>
        </w:rPr>
        <w:t>business group</w:t>
      </w:r>
      <w:r w:rsidRPr="00C44EF7">
        <w:rPr>
          <w:rFonts w:ascii="Times New Roman" w:hAnsi="Times New Roman" w:cs="Times New Roman"/>
          <w:szCs w:val="20"/>
        </w:rPr>
        <w:t xml:space="preserve"> </w:t>
      </w:r>
      <w:r w:rsidRPr="00C44EF7">
        <w:rPr>
          <w:rFonts w:ascii="Times New Roman" w:hAnsi="Times New Roman" w:cs="Times New Roman" w:hint="eastAsia"/>
          <w:szCs w:val="20"/>
        </w:rPr>
        <w:t>has larger group-wide cash holdings.</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Liu et al. (2016) directly test the empirical implication from Almeida and </w:t>
      </w:r>
      <w:proofErr w:type="spellStart"/>
      <w:r w:rsidRPr="00C44EF7">
        <w:rPr>
          <w:rFonts w:ascii="Times New Roman" w:hAnsi="Times New Roman" w:cs="Times New Roman" w:hint="eastAsia"/>
          <w:szCs w:val="20"/>
        </w:rPr>
        <w:t>Wolfenzon</w:t>
      </w:r>
      <w:proofErr w:type="spellEnd"/>
      <w:r w:rsidRPr="00C44EF7">
        <w:rPr>
          <w:rFonts w:ascii="Times New Roman" w:hAnsi="Times New Roman" w:cs="Times New Roman" w:hint="eastAsia"/>
          <w:szCs w:val="20"/>
        </w:rPr>
        <w:t xml:space="preserve"> (2006). That is, they </w:t>
      </w:r>
      <w:r w:rsidRPr="00C44EF7">
        <w:rPr>
          <w:rFonts w:ascii="Times New Roman" w:hAnsi="Times New Roman" w:cs="Times New Roman"/>
          <w:szCs w:val="20"/>
        </w:rPr>
        <w:t xml:space="preserve">examine </w:t>
      </w:r>
      <w:r w:rsidRPr="00C44EF7">
        <w:rPr>
          <w:rFonts w:ascii="Times New Roman" w:hAnsi="Times New Roman" w:cs="Times New Roman" w:hint="eastAsia"/>
          <w:szCs w:val="20"/>
        </w:rPr>
        <w:t>business group</w:t>
      </w:r>
      <w:r w:rsidRPr="00C44EF7">
        <w:rPr>
          <w:rFonts w:ascii="Times New Roman" w:hAnsi="Times New Roman" w:cs="Times New Roman"/>
          <w:szCs w:val="20"/>
        </w:rPr>
        <w:t>’</w:t>
      </w:r>
      <w:r w:rsidRPr="00C44EF7">
        <w:rPr>
          <w:rFonts w:ascii="Times New Roman" w:hAnsi="Times New Roman" w:cs="Times New Roman" w:hint="eastAsia"/>
          <w:szCs w:val="20"/>
        </w:rPr>
        <w:t>s influence</w:t>
      </w:r>
      <w:r w:rsidRPr="00C44EF7">
        <w:rPr>
          <w:rFonts w:ascii="Times New Roman" w:hAnsi="Times New Roman" w:cs="Times New Roman"/>
          <w:szCs w:val="20"/>
        </w:rPr>
        <w:t xml:space="preserve"> on the capital allocation efficiency of non-member firms</w:t>
      </w:r>
      <w:r w:rsidRPr="00C44EF7">
        <w:rPr>
          <w:rFonts w:ascii="Times New Roman" w:hAnsi="Times New Roman" w:cs="Times New Roman" w:hint="eastAsia"/>
          <w:szCs w:val="20"/>
        </w:rPr>
        <w:t xml:space="preserve"> at industry level</w:t>
      </w:r>
      <w:r w:rsidRPr="00C44EF7">
        <w:rPr>
          <w:rFonts w:ascii="Times New Roman" w:hAnsi="Times New Roman" w:cs="Times New Roman"/>
          <w:szCs w:val="20"/>
        </w:rPr>
        <w:t xml:space="preserve"> using Korean data</w:t>
      </w:r>
      <w:r w:rsidRPr="00C44EF7">
        <w:rPr>
          <w:rFonts w:ascii="Times New Roman" w:hAnsi="Times New Roman" w:cs="Times New Roman" w:hint="eastAsia"/>
          <w:szCs w:val="20"/>
        </w:rPr>
        <w:t xml:space="preserve">. They find that the </w:t>
      </w:r>
      <w:r w:rsidRPr="00C44EF7">
        <w:rPr>
          <w:rFonts w:ascii="Times New Roman" w:hAnsi="Times New Roman" w:cs="Times New Roman" w:hint="eastAsia"/>
          <w:szCs w:val="20"/>
        </w:rPr>
        <w:lastRenderedPageBreak/>
        <w:t>existence of business group is harmful for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capital allocation efficiency before the 1997/1998 Asian Financial Crisis but not after. In this study, we extend </w:t>
      </w:r>
      <w:r w:rsidRPr="00C44EF7">
        <w:rPr>
          <w:rFonts w:ascii="Times New Roman" w:hAnsi="Times New Roman" w:cs="Times New Roman"/>
          <w:szCs w:val="20"/>
        </w:rPr>
        <w:t xml:space="preserve">the work of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C44EF7">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and </w:t>
      </w:r>
      <w:r w:rsidRPr="00C44EF7">
        <w:rPr>
          <w:rFonts w:ascii="Times New Roman" w:hAnsi="Times New Roman" w:cs="Times New Roman" w:hint="eastAsia"/>
          <w:szCs w:val="20"/>
        </w:rPr>
        <w:t>examine</w:t>
      </w:r>
      <w:r w:rsidRPr="00C44EF7">
        <w:rPr>
          <w:rFonts w:ascii="Times New Roman" w:hAnsi="Times New Roman" w:cs="Times New Roman"/>
          <w:szCs w:val="20"/>
        </w:rPr>
        <w:t xml:space="preserve"> another type of external</w:t>
      </w:r>
      <w:r w:rsidRPr="00C44EF7">
        <w:rPr>
          <w:rFonts w:ascii="Times New Roman" w:hAnsi="Times New Roman" w:cs="Times New Roman" w:hint="eastAsia"/>
          <w:szCs w:val="20"/>
        </w:rPr>
        <w:t xml:space="preserve"> effect that business group exert on non-member firms in the same industry</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its effect on financial distress risk </w:t>
      </w:r>
      <w:r w:rsidRPr="00C44EF7">
        <w:rPr>
          <w:rFonts w:ascii="Times New Roman" w:hAnsi="Times New Roman" w:cs="Times New Roman"/>
          <w:szCs w:val="20"/>
        </w:rPr>
        <w:t>of</w:t>
      </w:r>
      <w:r w:rsidRPr="00C44EF7">
        <w:rPr>
          <w:rFonts w:ascii="Times New Roman" w:hAnsi="Times New Roman" w:cs="Times New Roman" w:hint="eastAsia"/>
          <w:szCs w:val="20"/>
        </w:rPr>
        <w:t xml:space="preserve"> non-member firms.</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The existence of business group</w:t>
      </w:r>
      <w:r w:rsidRPr="00C44EF7">
        <w:rPr>
          <w:rFonts w:ascii="Times New Roman" w:hAnsi="Times New Roman" w:cs="Times New Roman"/>
          <w:szCs w:val="20"/>
        </w:rPr>
        <w:t xml:space="preserve">’s internal capital market can affect the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of non-member firms for </w:t>
      </w:r>
      <w:r w:rsidRPr="00C44EF7">
        <w:rPr>
          <w:rFonts w:ascii="Times New Roman" w:hAnsi="Times New Roman" w:cs="Times New Roman" w:hint="eastAsia"/>
          <w:szCs w:val="20"/>
        </w:rPr>
        <w:t>a couple of</w:t>
      </w:r>
      <w:r w:rsidRPr="00C44EF7">
        <w:rPr>
          <w:rFonts w:ascii="Times New Roman" w:hAnsi="Times New Roman" w:cs="Times New Roman"/>
          <w:szCs w:val="20"/>
        </w:rPr>
        <w:t xml:space="preserve"> reasons. </w:t>
      </w:r>
      <w:r w:rsidRPr="00C44EF7">
        <w:rPr>
          <w:rFonts w:ascii="Times New Roman" w:hAnsi="Times New Roman" w:cs="Times New Roman" w:hint="eastAsia"/>
          <w:szCs w:val="20"/>
        </w:rPr>
        <w:t>First</w:t>
      </w:r>
      <w:r w:rsidRPr="00C44EF7">
        <w:rPr>
          <w:rFonts w:ascii="Times New Roman" w:hAnsi="Times New Roman" w:cs="Times New Roman"/>
          <w:szCs w:val="20"/>
        </w:rPr>
        <w:t xml:space="preserve">, </w:t>
      </w:r>
      <w:r w:rsidRPr="00C44EF7">
        <w:rPr>
          <w:rFonts w:ascii="Times New Roman" w:hAnsi="Times New Roman" w:cs="Times New Roman" w:hint="eastAsia"/>
          <w:szCs w:val="20"/>
        </w:rPr>
        <w:t>according to</w:t>
      </w:r>
      <w:r w:rsidRPr="00C44EF7">
        <w:rPr>
          <w:rFonts w:ascii="Times New Roman" w:hAnsi="Times New Roman" w:cs="Times New Roman"/>
          <w:szCs w:val="20"/>
        </w:rPr>
        <w:t xml:space="preserve"> </w:t>
      </w:r>
      <w:hyperlink w:anchor="_ENREF_1" w:tooltip="Almeida, 2006 #53" w:history="1">
        <w:r w:rsidRPr="00C44EF7">
          <w:rPr>
            <w:rFonts w:ascii="Times New Roman" w:hAnsi="Times New Roman" w:cs="Times New Roman"/>
            <w:szCs w:val="20"/>
          </w:rPr>
          <w:t>Almeida and Wolfenzon (2006</w:t>
        </w:r>
      </w:hyperlink>
      <w:r w:rsidRPr="00C44EF7">
        <w:rPr>
          <w:rFonts w:ascii="Times New Roman" w:hAnsi="Times New Roman" w:cs="Times New Roman"/>
          <w:szCs w:val="20"/>
        </w:rPr>
        <w:t xml:space="preserve">), </w:t>
      </w:r>
      <w:r w:rsidRPr="00C44EF7">
        <w:rPr>
          <w:rFonts w:ascii="Times New Roman" w:hAnsi="Times New Roman" w:cs="Times New Roman" w:hint="eastAsia"/>
          <w:szCs w:val="20"/>
        </w:rPr>
        <w:t>business groups</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can </w:t>
      </w:r>
      <w:r w:rsidRPr="00C44EF7">
        <w:rPr>
          <w:rFonts w:ascii="Times New Roman" w:hAnsi="Times New Roman" w:cs="Times New Roman"/>
          <w:szCs w:val="20"/>
        </w:rPr>
        <w:t>make non-member firms more financially constraint through their negative impact on the capital supply of external capital market</w:t>
      </w:r>
      <w:r w:rsidRPr="00C44EF7">
        <w:rPr>
          <w:rFonts w:ascii="Times New Roman" w:hAnsi="Times New Roman" w:cs="Times New Roman" w:hint="eastAsia"/>
          <w:szCs w:val="20"/>
        </w:rPr>
        <w:t xml:space="preserve">. Due to high financial constraint, </w:t>
      </w:r>
      <w:r w:rsidRPr="00C44EF7">
        <w:rPr>
          <w:rFonts w:ascii="Times New Roman" w:hAnsi="Times New Roman" w:cs="Times New Roman"/>
          <w:szCs w:val="20"/>
        </w:rPr>
        <w:t xml:space="preserve">non-member firms </w:t>
      </w:r>
      <w:r w:rsidRPr="00C44EF7">
        <w:rPr>
          <w:rFonts w:ascii="Times New Roman" w:hAnsi="Times New Roman" w:cs="Times New Roman" w:hint="eastAsia"/>
          <w:szCs w:val="20"/>
        </w:rPr>
        <w:t>may</w:t>
      </w:r>
      <w:r w:rsidRPr="00C44EF7">
        <w:rPr>
          <w:rFonts w:ascii="Times New Roman" w:hAnsi="Times New Roman" w:cs="Times New Roman"/>
          <w:szCs w:val="20"/>
        </w:rPr>
        <w:t xml:space="preserve"> miss profitable investment opportunities, and thus lose their market shares to their rivals</w:t>
      </w:r>
      <w:r w:rsidRPr="00C44EF7">
        <w:rPr>
          <w:rFonts w:ascii="Times New Roman" w:hAnsi="Times New Roman" w:cs="Times New Roman" w:hint="eastAsia"/>
          <w:szCs w:val="20"/>
        </w:rPr>
        <w:t>,</w:t>
      </w:r>
      <w:r w:rsidRPr="00C44EF7">
        <w:rPr>
          <w:rFonts w:ascii="Times New Roman" w:hAnsi="Times New Roman" w:cs="Times New Roman"/>
          <w:szCs w:val="20"/>
        </w:rPr>
        <w:t xml:space="preserve"> which could </w:t>
      </w:r>
      <w:r w:rsidRPr="00C44EF7">
        <w:rPr>
          <w:rFonts w:ascii="Times New Roman" w:hAnsi="Times New Roman" w:cs="Times New Roman" w:hint="eastAsia"/>
          <w:szCs w:val="20"/>
        </w:rPr>
        <w:t>increase</w:t>
      </w:r>
      <w:r w:rsidRPr="00C44EF7">
        <w:rPr>
          <w:rFonts w:ascii="Times New Roman" w:hAnsi="Times New Roman" w:cs="Times New Roman"/>
          <w:szCs w:val="20"/>
        </w:rPr>
        <w:t xml:space="preserve"> their </w:t>
      </w:r>
      <w:r w:rsidRPr="00C44EF7">
        <w:rPr>
          <w:rFonts w:ascii="Times New Roman" w:hAnsi="Times New Roman" w:cs="Times New Roman" w:hint="eastAsia"/>
          <w:szCs w:val="20"/>
        </w:rPr>
        <w:t>financial distress risk. We call this the financing channel of business group</w:t>
      </w:r>
      <w:r w:rsidRPr="00C44EF7">
        <w:rPr>
          <w:rFonts w:ascii="Times New Roman" w:hAnsi="Times New Roman" w:cs="Times New Roman"/>
          <w:szCs w:val="20"/>
        </w:rPr>
        <w:t>’</w:t>
      </w:r>
      <w:r w:rsidRPr="00C44EF7">
        <w:rPr>
          <w:rFonts w:ascii="Times New Roman" w:hAnsi="Times New Roman" w:cs="Times New Roman" w:hint="eastAsia"/>
          <w:szCs w:val="20"/>
        </w:rPr>
        <w:t>s influence. Second, business groups can increase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by simply </w:t>
      </w:r>
      <w:r w:rsidRPr="00C44EF7">
        <w:rPr>
          <w:rFonts w:ascii="Times New Roman" w:hAnsi="Times New Roman" w:cs="Times New Roman"/>
          <w:szCs w:val="20"/>
        </w:rPr>
        <w:t>competing</w:t>
      </w:r>
      <w:r w:rsidRPr="00C44EF7">
        <w:rPr>
          <w:rFonts w:ascii="Times New Roman" w:hAnsi="Times New Roman" w:cs="Times New Roman" w:hint="eastAsia"/>
          <w:szCs w:val="20"/>
        </w:rPr>
        <w:t xml:space="preserve"> with the</w:t>
      </w:r>
      <w:r w:rsidRPr="00C44EF7">
        <w:rPr>
          <w:rFonts w:ascii="Times New Roman" w:hAnsi="Times New Roman" w:cs="Times New Roman"/>
          <w:szCs w:val="20"/>
        </w:rPr>
        <w:t>m</w:t>
      </w:r>
      <w:r w:rsidRPr="00C44EF7">
        <w:rPr>
          <w:rFonts w:ascii="Times New Roman" w:hAnsi="Times New Roman" w:cs="Times New Roman" w:hint="eastAsia"/>
          <w:szCs w:val="20"/>
        </w:rPr>
        <w:t xml:space="preserve"> in the</w:t>
      </w:r>
      <w:r w:rsidRPr="00C44EF7">
        <w:rPr>
          <w:rFonts w:ascii="Times New Roman" w:hAnsi="Times New Roman" w:cs="Times New Roman"/>
          <w:szCs w:val="20"/>
        </w:rPr>
        <w:t xml:space="preserve"> same</w:t>
      </w:r>
      <w:r w:rsidRPr="00C44EF7">
        <w:rPr>
          <w:rFonts w:ascii="Times New Roman" w:hAnsi="Times New Roman" w:cs="Times New Roman" w:hint="eastAsia"/>
          <w:szCs w:val="20"/>
        </w:rPr>
        <w:t xml:space="preserve"> product market. There are both theoretical studies (see for example: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&lt;EndNote&gt;&lt;Cite&gt;&lt;Author&gt;Cestone&lt;/Author&gt;&lt;Year&gt;2005&lt;/Year&gt;&lt;RecNum&gt;127&lt;/RecNum&gt;&lt;DisplayText&gt;Cestone and Fumagalli (2005)&lt;/DisplayText&gt;&lt;record&gt;&lt;rec-number&gt;127&lt;/rec-number&gt;&lt;foreign-keys&gt;&lt;key app="EN" db-id="0w9rezxppe2pzrezf0lpzvz3rp29t2ds5e5t"&gt;127&lt;/key&gt;&lt;/foreign-keys&gt;&lt;ref-type name="Journal Article"&gt;17&lt;/ref-type&gt;&lt;contributors&gt;&lt;authors&gt;&lt;author&gt;Cestone, Giacinta&lt;/author&gt;&lt;author&gt;Fumagalli, Chiara&lt;/author&gt;&lt;/authors&gt;&lt;/contributors&gt;&lt;titles&gt;&lt;title&gt;The strategic impact of resource flexibility in business groups&lt;/title&gt;&lt;secondary-title&gt;RAND Journal of Economics&lt;/secondary-title&gt;&lt;/titles&gt;&lt;periodical&gt;&lt;full-title&gt;RAND Journal of Economics&lt;/full-title&gt;&lt;/periodical&gt;&lt;pages&gt;193-214&lt;/pages&gt;&lt;dates&gt;&lt;year&gt;2005&lt;/year&gt;&lt;/dates&gt;&lt;isbn&gt;0741-6261&lt;/isbn&gt;&lt;urls&gt;&lt;/urls&gt;&lt;/record&gt;&lt;/Cite&gt;&lt;/EndNote&gt;</w:instrText>
      </w:r>
      <w:r w:rsidR="00886B05" w:rsidRPr="00C44EF7">
        <w:rPr>
          <w:rFonts w:ascii="Times New Roman" w:hAnsi="Times New Roman" w:cs="Times New Roman"/>
          <w:szCs w:val="20"/>
        </w:rPr>
        <w:fldChar w:fldCharType="separate"/>
      </w:r>
      <w:hyperlink w:anchor="_ENREF_13" w:tooltip="Cestone, 2005 #127" w:history="1">
        <w:r w:rsidR="00710C45" w:rsidRPr="00C44EF7">
          <w:rPr>
            <w:rFonts w:ascii="Times New Roman" w:hAnsi="Times New Roman" w:cs="Times New Roman"/>
            <w:szCs w:val="20"/>
          </w:rPr>
          <w:t>Cestone and Fumagalli (2005</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&lt;EndNote&gt;&lt;Cite&gt;&lt;Author&gt;Faure-Grimaud&lt;/Author&gt;&lt;Year&gt;2005&lt;/Year&gt;&lt;RecNum&gt;126&lt;/RecNum&gt;&lt;DisplayText&gt;Faure-Grimaud and Inderst (2005)&lt;/DisplayText&gt;&lt;record&gt;&lt;rec-number&gt;126&lt;/rec-number&gt;&lt;foreign-keys&gt;&lt;key app="EN" db-id="0w9rezxppe2pzrezf0lpzvz3rp29t2ds5e5t"&gt;126&lt;/key&gt;&lt;/foreign-keys&gt;&lt;ref-type name="Journal Article"&gt;17&lt;/ref-type&gt;&lt;contributors&gt;&lt;authors&gt;&lt;author&gt;Faure-Grimaud, Antoine&lt;/author&gt;&lt;author&gt;Inderst, Roman&lt;/author&gt;&lt;/authors&gt;&lt;/contributors&gt;&lt;titles&gt;&lt;title&gt;Conglomerate entrenchment under optimal financial contracting&lt;/title&gt;&lt;secondary-title&gt;The American economic review&lt;/secondary-title&gt;&lt;/titles&gt;&lt;periodical&gt;&lt;full-title&gt;The American Economic Review&lt;/full-title&gt;&lt;/periodical&gt;&lt;pages&gt;850-861&lt;/pages&gt;&lt;volume&gt;95&lt;/volume&gt;&lt;number&gt;3&lt;/number&gt;&lt;dates&gt;&lt;year&gt;2005&lt;/year&gt;&lt;/dates&gt;&lt;isbn&gt;0002-8282&lt;/isbn&gt;&lt;urls&gt;&lt;/urls&gt;&lt;/record&gt;&lt;/Cite&gt;&lt;/EndNote&gt;</w:instrText>
      </w:r>
      <w:r w:rsidR="00886B05" w:rsidRPr="00C44EF7">
        <w:rPr>
          <w:rFonts w:ascii="Times New Roman" w:hAnsi="Times New Roman" w:cs="Times New Roman"/>
          <w:szCs w:val="20"/>
        </w:rPr>
        <w:fldChar w:fldCharType="separate"/>
      </w:r>
      <w:hyperlink w:anchor="_ENREF_18" w:tooltip="Faure-Grimaud, 2005 #126" w:history="1">
        <w:r w:rsidR="00710C45" w:rsidRPr="00C44EF7">
          <w:rPr>
            <w:rFonts w:ascii="Times New Roman" w:hAnsi="Times New Roman" w:cs="Times New Roman"/>
            <w:szCs w:val="20"/>
          </w:rPr>
          <w:t>Faure-Grimaud and Inderst (2005</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&lt;EndNote&gt;&lt;Cite&gt;&lt;Author&gt;Mathews&lt;/Author&gt;&lt;Year&gt;2008&lt;/Year&gt;&lt;RecNum&gt;136&lt;/RecNum&gt;&lt;DisplayText&gt;Mathews and Robinson (2008)&lt;/DisplayText&gt;&lt;record&gt;&lt;rec-number&gt;136&lt;/rec-number&gt;&lt;foreign-keys&gt;&lt;key app="EN" db-id="0w9rezxppe2pzrezf0lpzvz3rp29t2ds5e5t"&gt;136&lt;/key&gt;&lt;/foreign-keys&gt;&lt;ref-type name="Journal Article"&gt;17&lt;/ref-type&gt;&lt;contributors&gt;&lt;authors&gt;&lt;author&gt;Mathews, Richmond D&lt;/author&gt;&lt;author&gt;Robinson, David T&lt;/author&gt;&lt;/authors&gt;&lt;/contributors&gt;&lt;titles&gt;&lt;title&gt;Market structure, internal capital markets, and the boundaries of the firm&lt;/title&gt;&lt;secondary-title&gt;The Journal of Finance&lt;/secondary-title&gt;&lt;/titles&gt;&lt;periodical&gt;&lt;full-title&gt;The Journal of Finance&lt;/full-title&gt;&lt;/periodical&gt;&lt;pages&gt;2703-2736&lt;/pages&gt;&lt;volume&gt;63&lt;/volume&gt;&lt;number&gt;6&lt;/number&gt;&lt;dates&gt;&lt;year&gt;2008&lt;/year&gt;&lt;/dates&gt;&lt;isbn&gt;1540-6261&lt;/isbn&gt;&lt;urls&gt;&lt;/urls&gt;&lt;/record&gt;&lt;/Cite&gt;&lt;/EndNote&gt;</w:instrText>
      </w:r>
      <w:r w:rsidR="00886B05" w:rsidRPr="00C44EF7">
        <w:rPr>
          <w:rFonts w:ascii="Times New Roman" w:hAnsi="Times New Roman" w:cs="Times New Roman"/>
          <w:szCs w:val="20"/>
        </w:rPr>
        <w:fldChar w:fldCharType="separate"/>
      </w:r>
      <w:hyperlink w:anchor="_ENREF_29" w:tooltip="Mathews, 2008 #136" w:history="1">
        <w:r w:rsidR="00710C45" w:rsidRPr="00C44EF7">
          <w:rPr>
            <w:rFonts w:ascii="Times New Roman" w:hAnsi="Times New Roman" w:cs="Times New Roman"/>
            <w:szCs w:val="20"/>
          </w:rPr>
          <w:t>Mathews and Robinson (2008</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and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&lt;EndNote&gt;&lt;Cite&gt;&lt;Author&gt;Lewellen&lt;/Author&gt;&lt;Year&gt;1971&lt;/Year&gt;&lt;RecNum&gt;76&lt;/RecNum&gt;&lt;DisplayText&gt;Lewellen (1971)&lt;/DisplayText&gt;&lt;record&gt;&lt;rec-number&gt;76&lt;/rec-number&gt;&lt;foreign-keys&gt;&lt;key app="EN" db-id="0w9rezxppe2pzrezf0lpzvz3rp29t2ds5e5t"&gt;76&lt;/key&gt;&lt;/foreign-keys&gt;&lt;ref-type name="Journal Article"&gt;17&lt;/ref-type&gt;&lt;contributors&gt;&lt;authors&gt;&lt;author&gt;Lewellen, Wilbur G&lt;/author&gt;&lt;/authors&gt;&lt;/contributors&gt;&lt;titles&gt;&lt;title&gt;A pure financial rationale for the conglomerate merger&lt;/title&gt;&lt;secondary-title&gt;Journal of Finance&lt;/secondary-title&gt;&lt;/titles&gt;&lt;periodical&gt;&lt;full-title&gt;Journal of Finance&lt;/full-title&gt;&lt;/periodical&gt;&lt;pages&gt;521-537&lt;/pages&gt;&lt;dates&gt;&lt;year&gt;1971&lt;/year&gt;&lt;/dates&gt;&lt;isbn&gt;0022-1082&lt;/isbn&gt;&lt;urls&gt;&lt;/urls&gt;&lt;/record&gt;&lt;/Cite&gt;&lt;/EndNote&gt;</w:instrText>
      </w:r>
      <w:r w:rsidR="00886B05" w:rsidRPr="00C44EF7">
        <w:rPr>
          <w:rFonts w:ascii="Times New Roman" w:hAnsi="Times New Roman" w:cs="Times New Roman"/>
          <w:szCs w:val="20"/>
        </w:rPr>
        <w:fldChar w:fldCharType="separate"/>
      </w:r>
      <w:hyperlink w:anchor="_ENREF_27" w:tooltip="Lewellen, 1971 #76" w:history="1">
        <w:r w:rsidR="00710C45" w:rsidRPr="00C44EF7">
          <w:rPr>
            <w:rFonts w:ascii="Times New Roman" w:hAnsi="Times New Roman" w:cs="Times New Roman"/>
            <w:szCs w:val="20"/>
          </w:rPr>
          <w:t>Lewellen (1971</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and empirical evidences (see for example: </w:t>
      </w:r>
      <w:proofErr w:type="spellStart"/>
      <w:r w:rsidRPr="00C44EF7">
        <w:rPr>
          <w:rFonts w:ascii="Times New Roman" w:hAnsi="Times New Roman" w:cs="Times New Roman"/>
          <w:szCs w:val="20"/>
        </w:rPr>
        <w:t>Skaliz</w:t>
      </w:r>
      <w:proofErr w:type="spellEnd"/>
      <w:r w:rsidRPr="00C44EF7">
        <w:rPr>
          <w:rFonts w:ascii="Times New Roman" w:hAnsi="Times New Roman" w:cs="Times New Roman"/>
          <w:szCs w:val="20"/>
        </w:rPr>
        <w:t xml:space="preserve"> (2002)</w:t>
      </w:r>
      <w:r w:rsidRPr="00C44EF7">
        <w:rPr>
          <w:rFonts w:ascii="Times New Roman" w:hAnsi="Times New Roman" w:cs="Times New Roman" w:hint="eastAsia"/>
          <w:szCs w:val="20"/>
        </w:rPr>
        <w:t xml:space="preserve">, </w:t>
      </w:r>
      <w:r w:rsidR="007852F2">
        <w:rPr>
          <w:rFonts w:ascii="Times New Roman" w:hAnsi="Times New Roman" w:cs="Times New Roman"/>
          <w:szCs w:val="20"/>
        </w:rPr>
        <w:t>Baek et al.</w:t>
      </w:r>
      <w:r w:rsidRPr="00C44EF7">
        <w:rPr>
          <w:rFonts w:ascii="Times New Roman" w:hAnsi="Times New Roman" w:cs="Times New Roman"/>
          <w:szCs w:val="20"/>
        </w:rPr>
        <w:t xml:space="preserve"> (2004)</w:t>
      </w:r>
      <w:r w:rsidRPr="00C44EF7">
        <w:rPr>
          <w:rFonts w:ascii="Times New Roman" w:hAnsi="Times New Roman" w:cs="Times New Roman" w:hint="eastAsia"/>
          <w:szCs w:val="20"/>
        </w:rPr>
        <w:t xml:space="preserve">, </w:t>
      </w:r>
      <w:hyperlink w:anchor="_ENREF_3" w:tooltip="Boutin, 2013 #129" w:history="1">
        <w:r w:rsidRPr="00C44EF7">
          <w:rPr>
            <w:rFonts w:ascii="Times New Roman" w:hAnsi="Times New Roman" w:cs="Times New Roman"/>
            <w:szCs w:val="20"/>
          </w:rPr>
          <w:t>Boutin et al. (2013</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and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&lt;EndNote&gt;&lt;Cite&gt;&lt;Author&gt;Hann&lt;/Author&gt;&lt;Year&gt;2013&lt;/Year&gt;&lt;RecNum&gt;111&lt;/RecNum&gt;&lt;DisplayText&gt;Hann, Ogneva and Ozbas (2013)&lt;/DisplayText&gt;&lt;record&gt;&lt;rec-number&gt;111&lt;/rec-number&gt;&lt;foreign-keys&gt;&lt;key app="EN" db-id="0w9rezxppe2pzrezf0lpzvz3rp29t2ds5e5t"&gt;111&lt;/key&gt;&lt;/foreign-keys&gt;&lt;ref-type name="Journal Article"&gt;17&lt;/ref-type&gt;&lt;contributors&gt;&lt;authors&gt;&lt;author&gt;Hann, Rebecca N&lt;/author&gt;&lt;author&gt;Ogneva, Maria&lt;/author&gt;&lt;author&gt;Ozbas, Oguzhan&lt;/author&gt;&lt;/authors&gt;&lt;/contributors&gt;&lt;titles&gt;&lt;title&gt;Corporate diversification and the cost of capital&lt;/title&gt;&lt;secondary-title&gt;The journal of finance&lt;/secondary-title&gt;&lt;/titles&gt;&lt;periodical&gt;&lt;full-title&gt;The Journal of Finance&lt;/full-title&gt;&lt;/periodical&gt;&lt;pages&gt;1961-1999&lt;/pages&gt;&lt;volume&gt;68&lt;/volume&gt;&lt;number&gt;5&lt;/number&gt;&lt;dates&gt;&lt;year&gt;2013&lt;/year&gt;&lt;/dates&gt;&lt;isbn&gt;1540-6261&lt;/isbn&gt;&lt;urls&gt;&lt;/urls&gt;&lt;/record&gt;&lt;/Cite&gt;&lt;/EndNote&gt;</w:instrText>
      </w:r>
      <w:r w:rsidR="00886B05" w:rsidRPr="00C44EF7">
        <w:rPr>
          <w:rFonts w:ascii="Times New Roman" w:hAnsi="Times New Roman" w:cs="Times New Roman"/>
          <w:szCs w:val="20"/>
        </w:rPr>
        <w:fldChar w:fldCharType="separate"/>
      </w:r>
      <w:hyperlink w:anchor="_ENREF_19" w:tooltip="Hann, 2013 #111" w:history="1">
        <w:r w:rsidR="00710C45" w:rsidRPr="00C44EF7">
          <w:rPr>
            <w:rFonts w:ascii="Times New Roman" w:hAnsi="Times New Roman" w:cs="Times New Roman"/>
            <w:szCs w:val="20"/>
          </w:rPr>
          <w:t>Hann</w:t>
        </w:r>
        <w:r w:rsidR="00CB5C3F">
          <w:rPr>
            <w:rFonts w:ascii="Times New Roman" w:hAnsi="Times New Roman" w:cs="Times New Roman"/>
            <w:szCs w:val="20"/>
          </w:rPr>
          <w:t xml:space="preserve"> et al.</w:t>
        </w:r>
        <w:r w:rsidR="00710C45" w:rsidRPr="00C44EF7">
          <w:rPr>
            <w:rFonts w:ascii="Times New Roman" w:hAnsi="Times New Roman" w:cs="Times New Roman"/>
            <w:szCs w:val="20"/>
          </w:rPr>
          <w:t xml:space="preserve"> (2013</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that business group member firms tend to be strong rivals for non-member firms both in terms of market position and </w:t>
      </w:r>
      <w:r w:rsidRPr="00C44EF7">
        <w:rPr>
          <w:rFonts w:ascii="Times New Roman" w:hAnsi="Times New Roman" w:cs="Times New Roman"/>
          <w:szCs w:val="20"/>
        </w:rPr>
        <w:t>financ</w:t>
      </w:r>
      <w:r w:rsidRPr="00C44EF7">
        <w:rPr>
          <w:rFonts w:ascii="Times New Roman" w:hAnsi="Times New Roman" w:cs="Times New Roman" w:hint="eastAsia"/>
          <w:szCs w:val="20"/>
        </w:rPr>
        <w:t xml:space="preserve">ial </w:t>
      </w:r>
      <w:r w:rsidRPr="00C44EF7">
        <w:rPr>
          <w:rFonts w:ascii="Times New Roman" w:hAnsi="Times New Roman" w:cs="Times New Roman"/>
          <w:szCs w:val="20"/>
        </w:rPr>
        <w:t>strength</w:t>
      </w:r>
      <w:r w:rsidRPr="00C44EF7">
        <w:rPr>
          <w:rFonts w:ascii="Times New Roman" w:hAnsi="Times New Roman" w:cs="Times New Roman" w:hint="eastAsia"/>
          <w:szCs w:val="20"/>
        </w:rPr>
        <w:t xml:space="preserve"> due to the existence of the internal capital market. Also, existing literature has shown that firms are exposed to higher financial distress risk when there exist strong rivals in product markets, either in terms of market power (see for example: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&lt;EndNote&gt;&lt;Cite&gt;&lt;Author&gt;Huang&lt;/Author&gt;&lt;Year&gt;2013&lt;/Year&gt;&lt;RecNum&gt;102&lt;/RecNum&gt;&lt;DisplayText&gt;Huang and Lee (2013)&lt;/DisplayText&gt;&lt;record&gt;&lt;rec-number&gt;102&lt;/rec-number&gt;&lt;foreign-keys&gt;&lt;key app="EN" db-id="0w9rezxppe2pzrezf0lpzvz3rp29t2ds5e5t"&gt;102&lt;/key&gt;&lt;/foreign-keys&gt;&lt;ref-type name="Journal Article"&gt;17&lt;/ref-type&gt;&lt;contributors&gt;&lt;authors&gt;&lt;author&gt;Huang, Hsing-Hua&lt;/author&gt;&lt;author&gt;Lee, Han-Hsing&lt;/author&gt;&lt;/authors&gt;&lt;/contributors&gt;&lt;titles&gt;&lt;title&gt;Product market competition and credit risk&lt;/title&gt;&lt;secondary-title&gt;Journal of Banking &amp;amp; Finance&lt;/secondary-title&gt;&lt;/titles&gt;&lt;periodical&gt;&lt;full-title&gt;Journal of Banking &amp;amp; Finance&lt;/full-title&gt;&lt;/periodical&gt;&lt;pages&gt;324-340&lt;/pages&gt;&lt;volume&gt;37&lt;/volume&gt;&lt;number&gt;2&lt;/number&gt;&lt;dates&gt;&lt;year&gt;2013&lt;/year&gt;&lt;/dates&gt;&lt;isbn&gt;0378-4266&lt;/isbn&gt;&lt;urls&gt;&lt;/urls&gt;&lt;/record&gt;&lt;/Cite&gt;&lt;/EndNote&gt;</w:instrText>
      </w:r>
      <w:r w:rsidR="00886B05" w:rsidRPr="00C44EF7">
        <w:rPr>
          <w:rFonts w:ascii="Times New Roman" w:hAnsi="Times New Roman" w:cs="Times New Roman"/>
          <w:szCs w:val="20"/>
        </w:rPr>
        <w:fldChar w:fldCharType="separate"/>
      </w:r>
      <w:hyperlink w:anchor="_ENREF_20" w:tooltip="Huang, 2013 #102" w:history="1">
        <w:r w:rsidR="00710C45" w:rsidRPr="00C44EF7">
          <w:rPr>
            <w:rFonts w:ascii="Times New Roman" w:hAnsi="Times New Roman" w:cs="Times New Roman"/>
            <w:szCs w:val="20"/>
          </w:rPr>
          <w:t>Huang and Lee (2013</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or financial strength (see for example: </w:t>
      </w:r>
      <w:hyperlink w:anchor="_ENREF_5" w:tooltip="Bolton, 1990 #94" w:history="1">
        <w:r w:rsidRPr="00C44EF7">
          <w:rPr>
            <w:rFonts w:ascii="Times New Roman" w:hAnsi="Times New Roman" w:cs="Times New Roman"/>
            <w:szCs w:val="20"/>
          </w:rPr>
          <w:t>Bolton and Scharfstein (1990</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&lt;EndNote&gt;&lt;Cite&gt;&lt;Author&gt;Valta&lt;/Author&gt;&lt;Year&gt;2012&lt;/Year&gt;&lt;RecNum&gt;109&lt;/RecNum&gt;&lt;DisplayText&gt;Valta (2012)&lt;/DisplayText&gt;&lt;record&gt;&lt;rec-number&gt;109&lt;/rec-number&gt;&lt;foreign-keys&gt;&lt;key app="EN" db-id="0w9rezxppe2pzrezf0lpzvz3rp29t2ds5e5t"&gt;109&lt;/key&gt;&lt;/foreign-keys&gt;&lt;ref-type name="Journal Article"&gt;17&lt;/ref-type&gt;&lt;contributors&gt;&lt;authors&gt;&lt;author&gt;Valta, Philip&lt;/author&gt;&lt;/authors&gt;&lt;/contributors&gt;&lt;titles&gt;&lt;title&gt;Competition and the cost of debt&lt;/title&gt;&lt;secondary-title&gt;Journal of Financial Economics&lt;/secondary-title&gt;&lt;/titles&gt;&lt;periodical&gt;&lt;full-title&gt;Journal of Financial Economics&lt;/full-title&gt;&lt;/periodical&gt;&lt;pages&gt;661-682&lt;/pages&gt;&lt;volume&gt;105&lt;/volume&gt;&lt;number&gt;3&lt;/number&gt;&lt;dates&gt;&lt;year&gt;2012&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36" w:tooltip="Valta, 2012 #109" w:history="1">
        <w:r w:rsidR="00710C45" w:rsidRPr="00C44EF7">
          <w:rPr>
            <w:rFonts w:ascii="Times New Roman" w:hAnsi="Times New Roman" w:cs="Times New Roman"/>
            <w:szCs w:val="20"/>
          </w:rPr>
          <w:t>Valta (2012</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and </w:t>
      </w:r>
      <w:hyperlink w:anchor="_ENREF_12" w:tooltip="Chi, 2015 #95" w:history="1">
        <w:r w:rsidRPr="00C44EF7">
          <w:rPr>
            <w:rFonts w:ascii="Times New Roman" w:hAnsi="Times New Roman" w:cs="Times New Roman"/>
            <w:szCs w:val="20"/>
          </w:rPr>
          <w:t>Chi and Su (2015</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Therefore, it is possible </w:t>
      </w:r>
      <w:r w:rsidRPr="00C44EF7">
        <w:rPr>
          <w:rFonts w:ascii="Times New Roman" w:hAnsi="Times New Roman" w:cs="Times New Roman"/>
          <w:szCs w:val="20"/>
        </w:rPr>
        <w:t>that</w:t>
      </w:r>
      <w:r w:rsidRPr="00C44EF7">
        <w:rPr>
          <w:rFonts w:ascii="Times New Roman" w:hAnsi="Times New Roman" w:cs="Times New Roman" w:hint="eastAsia"/>
          <w:szCs w:val="20"/>
        </w:rPr>
        <w:t xml:space="preserve"> business groups can have negative external effects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even without creating significant distortion of capital allocation in external capital market</w:t>
      </w:r>
      <w:r w:rsidR="007852F2">
        <w:rPr>
          <w:rFonts w:ascii="Times New Roman" w:hAnsi="Times New Roman" w:cs="Times New Roman"/>
          <w:szCs w:val="20"/>
        </w:rPr>
        <w:t xml:space="preserve">. </w:t>
      </w:r>
      <w:r w:rsidRPr="00C44EF7">
        <w:rPr>
          <w:rFonts w:ascii="Times New Roman" w:hAnsi="Times New Roman" w:cs="Times New Roman" w:hint="eastAsia"/>
          <w:szCs w:val="20"/>
        </w:rPr>
        <w:t>Also, We call this the product market channel of business group</w:t>
      </w:r>
      <w:r w:rsidRPr="00C44EF7">
        <w:rPr>
          <w:rFonts w:ascii="Times New Roman" w:hAnsi="Times New Roman" w:cs="Times New Roman"/>
          <w:szCs w:val="20"/>
        </w:rPr>
        <w:t>’</w:t>
      </w:r>
      <w:r w:rsidRPr="00C44EF7">
        <w:rPr>
          <w:rFonts w:ascii="Times New Roman" w:hAnsi="Times New Roman" w:cs="Times New Roman" w:hint="eastAsia"/>
          <w:szCs w:val="20"/>
        </w:rPr>
        <w:t>s influence.</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To examine the effect of business groups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we use Korean data. As Liu et al. (2016) explain</w:t>
      </w:r>
      <w:proofErr w:type="gramStart"/>
      <w:r w:rsidRPr="00C44EF7">
        <w:rPr>
          <w:rFonts w:ascii="Times New Roman" w:hAnsi="Times New Roman" w:cs="Times New Roman" w:hint="eastAsia"/>
          <w:szCs w:val="20"/>
        </w:rPr>
        <w:t>,</w:t>
      </w:r>
      <w:proofErr w:type="gramEnd"/>
      <w:r w:rsidRPr="00C44EF7">
        <w:rPr>
          <w:rFonts w:ascii="Times New Roman" w:hAnsi="Times New Roman" w:cs="Times New Roman" w:hint="eastAsia"/>
          <w:szCs w:val="20"/>
        </w:rPr>
        <w:t xml:space="preserve"> Korean data has quite nice features that allow us to examine properly the externality of business groups. For instance, </w:t>
      </w:r>
      <w:r w:rsidRPr="00C44EF7">
        <w:rPr>
          <w:rFonts w:ascii="Times New Roman" w:hAnsi="Times New Roman" w:cs="Times New Roman"/>
          <w:szCs w:val="20"/>
        </w:rPr>
        <w:t>business group</w:t>
      </w:r>
      <w:r w:rsidRPr="00C44EF7">
        <w:rPr>
          <w:rFonts w:ascii="Times New Roman" w:hAnsi="Times New Roman" w:cs="Times New Roman" w:hint="eastAsia"/>
          <w:szCs w:val="20"/>
        </w:rPr>
        <w:t>s</w:t>
      </w:r>
      <w:r w:rsidRPr="00C44EF7">
        <w:rPr>
          <w:rFonts w:ascii="Times New Roman" w:hAnsi="Times New Roman" w:cs="Times New Roman"/>
          <w:szCs w:val="20"/>
        </w:rPr>
        <w:t xml:space="preserve"> </w:t>
      </w:r>
      <w:r w:rsidRPr="00C44EF7">
        <w:rPr>
          <w:rFonts w:ascii="Times New Roman" w:hAnsi="Times New Roman" w:cs="Times New Roman" w:hint="eastAsia"/>
          <w:szCs w:val="20"/>
        </w:rPr>
        <w:t>occupy</w:t>
      </w:r>
      <w:r w:rsidRPr="00C44EF7">
        <w:rPr>
          <w:rFonts w:ascii="Times New Roman" w:hAnsi="Times New Roman" w:cs="Times New Roman"/>
          <w:szCs w:val="20"/>
        </w:rPr>
        <w:t xml:space="preserve"> a large</w:t>
      </w:r>
      <w:r w:rsidRPr="00C44EF7">
        <w:rPr>
          <w:rFonts w:ascii="Times New Roman" w:hAnsi="Times New Roman" w:cs="Times New Roman" w:hint="eastAsia"/>
          <w:szCs w:val="20"/>
        </w:rPr>
        <w:t xml:space="preserve"> portion</w:t>
      </w:r>
      <w:r w:rsidRPr="00C44EF7">
        <w:rPr>
          <w:rFonts w:ascii="Times New Roman" w:hAnsi="Times New Roman" w:cs="Times New Roman"/>
          <w:szCs w:val="20"/>
        </w:rPr>
        <w:t xml:space="preserve"> of the corporate sector in Korean economy</w:t>
      </w:r>
      <w:r w:rsidRPr="00C44EF7">
        <w:rPr>
          <w:rFonts w:ascii="Times New Roman" w:hAnsi="Times New Roman" w:cs="Times New Roman" w:hint="eastAsia"/>
          <w:szCs w:val="20"/>
        </w:rPr>
        <w:t>.</w:t>
      </w:r>
      <w:r w:rsidRPr="00C44EF7">
        <w:rPr>
          <w:rFonts w:ascii="Times New Roman" w:hAnsi="Times New Roman" w:cs="Times New Roman"/>
          <w:szCs w:val="20"/>
        </w:rPr>
        <w:t xml:space="preserve"> </w:t>
      </w:r>
      <w:r w:rsidRPr="00C44EF7">
        <w:rPr>
          <w:rFonts w:ascii="Times New Roman" w:hAnsi="Times New Roman" w:cs="Times New Roman" w:hint="eastAsia"/>
          <w:szCs w:val="20"/>
        </w:rPr>
        <w:t>A</w:t>
      </w:r>
      <w:r w:rsidRPr="00C44EF7">
        <w:rPr>
          <w:rFonts w:ascii="Times New Roman" w:hAnsi="Times New Roman" w:cs="Times New Roman"/>
          <w:szCs w:val="20"/>
        </w:rPr>
        <w:t xml:space="preserve">ccording to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&lt;EndNote&gt;&lt;Cite&gt;&lt;Author&gt;Baek&lt;/Author&gt;&lt;Year&gt;2004&lt;/Year&gt;&lt;RecNum&gt;69&lt;/RecNum&gt;&lt;DisplayText&gt;Baek, Kang and Park (2004)&lt;/DisplayText&gt;&lt;record&gt;&lt;rec-number&gt;69&lt;/rec-number&gt;&lt;foreign-keys&gt;&lt;key app="EN" db-id="0w9rezxppe2pzrezf0lpzvz3rp29t2ds5e5t"&gt;69&lt;/key&gt;&lt;/foreign-keys&gt;&lt;ref-type name="Journal Article"&gt;17&lt;/ref-type&gt;&lt;contributors&gt;&lt;authors&gt;&lt;author&gt;Baek, Jae-Seung&lt;/author&gt;&lt;author&gt;Kang, Jun-Koo&lt;/author&gt;&lt;author&gt;Park, Kyung Suh&lt;/author&gt;&lt;/authors&gt;&lt;/contributors&gt;&lt;titles&gt;&lt;title&gt;Corporate governance and firm value: Evidence from the Korean financial crisis&lt;/title&gt;&lt;secondary-title&gt;Journal of Financial economics&lt;/secondary-title&gt;&lt;/titles&gt;&lt;periodical&gt;&lt;full-title&gt;Journal of Financial Economics&lt;/full-title&gt;&lt;/periodical&gt;&lt;pages&gt;265-313&lt;/pages&gt;&lt;volume&gt;71&lt;/volume&gt;&lt;number&gt;2&lt;/number&gt;&lt;dates&gt;&lt;year&gt;2004&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6" w:tooltip="Baek, 2004 #69" w:history="1">
        <w:r w:rsidR="007852F2">
          <w:rPr>
            <w:rFonts w:ascii="Times New Roman" w:hAnsi="Times New Roman" w:cs="Times New Roman"/>
            <w:szCs w:val="20"/>
          </w:rPr>
          <w:t>Baek et al.</w:t>
        </w:r>
        <w:r w:rsidR="00710C45" w:rsidRPr="00C44EF7">
          <w:rPr>
            <w:rFonts w:ascii="Times New Roman" w:hAnsi="Times New Roman" w:cs="Times New Roman"/>
            <w:szCs w:val="20"/>
          </w:rPr>
          <w:t xml:space="preserve"> (2004</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w:t>
      </w:r>
      <w:r w:rsidRPr="00C44EF7">
        <w:rPr>
          <w:rFonts w:ascii="Times New Roman" w:hAnsi="Times New Roman" w:cs="Times New Roman" w:hint="eastAsia"/>
          <w:szCs w:val="20"/>
        </w:rPr>
        <w:t>as of the end of 1998,</w:t>
      </w:r>
      <w:r w:rsidRPr="00C44EF7">
        <w:rPr>
          <w:rFonts w:ascii="Times New Roman" w:hAnsi="Times New Roman" w:cs="Times New Roman"/>
          <w:szCs w:val="20"/>
        </w:rPr>
        <w:t xml:space="preserve"> large business groups (also known as “Chaebols”) </w:t>
      </w:r>
      <w:r w:rsidRPr="00C44EF7">
        <w:rPr>
          <w:rFonts w:ascii="Times New Roman" w:hAnsi="Times New Roman" w:cs="Times New Roman" w:hint="eastAsia"/>
          <w:szCs w:val="20"/>
        </w:rPr>
        <w:t>account for 47.49% of</w:t>
      </w:r>
      <w:r w:rsidRPr="00C44EF7">
        <w:rPr>
          <w:rFonts w:ascii="Times New Roman" w:hAnsi="Times New Roman" w:cs="Times New Roman"/>
          <w:szCs w:val="20"/>
        </w:rPr>
        <w:t xml:space="preserve"> total corporate assets and </w:t>
      </w:r>
      <w:r w:rsidRPr="00C44EF7">
        <w:rPr>
          <w:rFonts w:ascii="Times New Roman" w:hAnsi="Times New Roman" w:cs="Times New Roman" w:hint="eastAsia"/>
          <w:szCs w:val="20"/>
        </w:rPr>
        <w:t xml:space="preserve">46.54% of </w:t>
      </w:r>
      <w:r w:rsidRPr="00C44EF7">
        <w:rPr>
          <w:rFonts w:ascii="Times New Roman" w:hAnsi="Times New Roman" w:cs="Times New Roman"/>
          <w:szCs w:val="20"/>
        </w:rPr>
        <w:t xml:space="preserve">total corporate revenues. </w:t>
      </w:r>
      <w:r w:rsidRPr="00C44EF7">
        <w:rPr>
          <w:rFonts w:ascii="Times New Roman" w:hAnsi="Times New Roman" w:cs="Times New Roman" w:hint="eastAsia"/>
          <w:szCs w:val="20"/>
        </w:rPr>
        <w:t xml:space="preserve">Korea also has a sufficiently large pool of non-member firms, and this balanced distribution </w:t>
      </w:r>
      <w:r w:rsidRPr="00C44EF7">
        <w:rPr>
          <w:rFonts w:ascii="Times New Roman" w:hAnsi="Times New Roman" w:cs="Times New Roman"/>
          <w:szCs w:val="20"/>
        </w:rPr>
        <w:t xml:space="preserve">makes it easier to </w:t>
      </w:r>
      <w:r w:rsidRPr="00C44EF7">
        <w:rPr>
          <w:rFonts w:ascii="Times New Roman" w:hAnsi="Times New Roman" w:cs="Times New Roman" w:hint="eastAsia"/>
          <w:szCs w:val="20"/>
        </w:rPr>
        <w:t>examine</w:t>
      </w:r>
      <w:r w:rsidRPr="00C44EF7">
        <w:rPr>
          <w:rFonts w:ascii="Times New Roman" w:hAnsi="Times New Roman" w:cs="Times New Roman"/>
          <w:szCs w:val="20"/>
        </w:rPr>
        <w:t xml:space="preserve"> the external effect of business group, if there is any.</w:t>
      </w:r>
      <w:r w:rsidRPr="00C44EF7">
        <w:rPr>
          <w:rFonts w:ascii="Times New Roman" w:hAnsi="Times New Roman" w:cs="Times New Roman" w:hint="eastAsia"/>
          <w:szCs w:val="20"/>
        </w:rPr>
        <w:t xml:space="preserve"> In addition, Korea is one of a few countries where the detail </w:t>
      </w:r>
      <w:r w:rsidRPr="00C44EF7">
        <w:rPr>
          <w:rFonts w:ascii="Times New Roman" w:hAnsi="Times New Roman" w:cs="Times New Roman" w:hint="eastAsia"/>
          <w:szCs w:val="20"/>
        </w:rPr>
        <w:lastRenderedPageBreak/>
        <w:t xml:space="preserve">information on large </w:t>
      </w:r>
      <w:r w:rsidRPr="00C44EF7">
        <w:rPr>
          <w:rFonts w:ascii="Times New Roman" w:hAnsi="Times New Roman" w:cs="Times New Roman"/>
          <w:szCs w:val="20"/>
        </w:rPr>
        <w:t>business</w:t>
      </w:r>
      <w:r w:rsidRPr="00C44EF7">
        <w:rPr>
          <w:rFonts w:ascii="Times New Roman" w:hAnsi="Times New Roman" w:cs="Times New Roman" w:hint="eastAsia"/>
          <w:szCs w:val="20"/>
        </w:rPr>
        <w:t xml:space="preserve"> group is available</w:t>
      </w:r>
      <w:r w:rsidRPr="00AF7111">
        <w:rPr>
          <w:rStyle w:val="a4"/>
          <w:rFonts w:ascii="Times New Roman" w:hAnsi="Times New Roman" w:cs="Times New Roman"/>
        </w:rPr>
        <w:footnoteReference w:id="3"/>
      </w:r>
      <w:r w:rsidRPr="00C44EF7">
        <w:rPr>
          <w:rFonts w:ascii="Times New Roman" w:hAnsi="Times New Roman" w:cs="Times New Roman" w:hint="eastAsia"/>
          <w:szCs w:val="20"/>
        </w:rPr>
        <w:t xml:space="preserve"> and, more </w:t>
      </w:r>
      <w:r w:rsidRPr="00C44EF7">
        <w:rPr>
          <w:rFonts w:ascii="Times New Roman" w:hAnsi="Times New Roman" w:cs="Times New Roman"/>
          <w:szCs w:val="20"/>
        </w:rPr>
        <w:t>importantly</w:t>
      </w:r>
      <w:r w:rsidRPr="00C44EF7">
        <w:rPr>
          <w:rFonts w:ascii="Times New Roman" w:hAnsi="Times New Roman" w:cs="Times New Roman" w:hint="eastAsia"/>
          <w:szCs w:val="20"/>
        </w:rPr>
        <w:t xml:space="preserve">, financial statement data is available not only for public firms but also for a large pool of </w:t>
      </w:r>
      <w:r w:rsidRPr="00C44EF7">
        <w:rPr>
          <w:rFonts w:ascii="Times New Roman" w:hAnsi="Times New Roman" w:cs="Times New Roman"/>
          <w:szCs w:val="20"/>
        </w:rPr>
        <w:t>private</w:t>
      </w:r>
      <w:r w:rsidRPr="00C44EF7">
        <w:rPr>
          <w:rFonts w:ascii="Times New Roman" w:hAnsi="Times New Roman" w:cs="Times New Roman" w:hint="eastAsia"/>
          <w:szCs w:val="20"/>
        </w:rPr>
        <w:t xml:space="preserve"> firms (so-called externally audited firms)</w:t>
      </w:r>
      <w:r w:rsidRPr="00AF7111">
        <w:rPr>
          <w:rStyle w:val="a4"/>
          <w:rFonts w:ascii="Times New Roman" w:hAnsi="Times New Roman" w:cs="Times New Roman"/>
        </w:rPr>
        <w:footnoteReference w:id="4"/>
      </w:r>
      <w:r w:rsidRPr="00C44EF7">
        <w:rPr>
          <w:rFonts w:ascii="Times New Roman" w:hAnsi="Times New Roman" w:cs="Times New Roman" w:hint="eastAsia"/>
          <w:szCs w:val="20"/>
        </w:rPr>
        <w:t>. Including private and small/medium size firms to address the issue examined here is very important, sine these firms will be more likely to be financially constrained and have less competitive status in product markets. Thus they will be more likely to suffer from business groups</w:t>
      </w:r>
      <w:r w:rsidRPr="00C44EF7">
        <w:rPr>
          <w:rFonts w:ascii="Times New Roman" w:hAnsi="Times New Roman" w:cs="Times New Roman"/>
          <w:szCs w:val="20"/>
        </w:rPr>
        <w:t>’</w:t>
      </w:r>
      <w:r w:rsidRPr="00C44EF7">
        <w:rPr>
          <w:rFonts w:ascii="Times New Roman" w:hAnsi="Times New Roman" w:cs="Times New Roman" w:hint="eastAsia"/>
          <w:szCs w:val="20"/>
        </w:rPr>
        <w:t xml:space="preserve"> negative external effects, if there is any. </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To measure business group</w:t>
      </w:r>
      <w:r w:rsidRPr="00C44EF7">
        <w:rPr>
          <w:rFonts w:ascii="Times New Roman" w:hAnsi="Times New Roman" w:cs="Times New Roman"/>
          <w:szCs w:val="20"/>
        </w:rPr>
        <w:t>’</w:t>
      </w:r>
      <w:r w:rsidRPr="00C44EF7">
        <w:rPr>
          <w:rFonts w:ascii="Times New Roman" w:hAnsi="Times New Roman" w:cs="Times New Roman" w:hint="eastAsia"/>
          <w:szCs w:val="20"/>
        </w:rPr>
        <w:t xml:space="preserve">s influence, we employ the business group </w:t>
      </w:r>
      <w:r w:rsidRPr="00C44EF7">
        <w:rPr>
          <w:rFonts w:ascii="Times New Roman" w:hAnsi="Times New Roman" w:cs="Times New Roman"/>
          <w:szCs w:val="20"/>
        </w:rPr>
        <w:t>strength</w:t>
      </w:r>
      <w:r w:rsidRPr="00C44EF7">
        <w:rPr>
          <w:rFonts w:ascii="Times New Roman" w:hAnsi="Times New Roman" w:cs="Times New Roman" w:hint="eastAsia"/>
          <w:szCs w:val="20"/>
        </w:rPr>
        <w:t xml:space="preserve"> and dominance index (BSDI) developed by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C44EF7">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for each industry within each year. We </w:t>
      </w:r>
      <w:r w:rsidRPr="00C44EF7">
        <w:rPr>
          <w:rFonts w:ascii="Times New Roman" w:hAnsi="Times New Roman" w:cs="Times New Roman"/>
          <w:szCs w:val="20"/>
        </w:rPr>
        <w:t>investigate</w:t>
      </w:r>
      <w:r w:rsidRPr="00C44EF7">
        <w:rPr>
          <w:rFonts w:ascii="Times New Roman" w:hAnsi="Times New Roman" w:cs="Times New Roman" w:hint="eastAsia"/>
          <w:szCs w:val="20"/>
        </w:rPr>
        <w:t xml:space="preserve"> the effect of business groups on financial distress risk for three </w:t>
      </w:r>
      <w:r w:rsidRPr="00C44EF7">
        <w:rPr>
          <w:rFonts w:ascii="Times New Roman" w:hAnsi="Times New Roman" w:cs="Times New Roman"/>
          <w:szCs w:val="20"/>
        </w:rPr>
        <w:t>spectrums</w:t>
      </w:r>
      <w:r w:rsidRPr="00C44EF7">
        <w:rPr>
          <w:rFonts w:ascii="Times New Roman" w:hAnsi="Times New Roman" w:cs="Times New Roman" w:hint="eastAsia"/>
          <w:szCs w:val="20"/>
        </w:rPr>
        <w:t xml:space="preserve"> of firms: member firms, non-member firms, and all firms within the same industry (both member firms and non-member firms). Our findings are following. First, we find that the existence of business group within an industry has a negative effect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health. Specifically, BSDI is positively associated with financial distress risk of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indicating that when there are stronger and more dominant business groups in an industry, the financial distress risk of non-member firms in the same industry increases. However, for member firms, we do not find significant results.</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Second, our </w:t>
      </w:r>
      <w:r w:rsidRPr="00C44EF7">
        <w:rPr>
          <w:rFonts w:ascii="Times New Roman" w:hAnsi="Times New Roman" w:cs="Times New Roman"/>
          <w:szCs w:val="20"/>
        </w:rPr>
        <w:t>results</w:t>
      </w:r>
      <w:r w:rsidRPr="00C44EF7">
        <w:rPr>
          <w:rFonts w:ascii="Times New Roman" w:hAnsi="Times New Roman" w:cs="Times New Roman" w:hint="eastAsia"/>
          <w:szCs w:val="20"/>
        </w:rPr>
        <w:t xml:space="preserve"> show that business group has negative effect on the financial health of the entire </w:t>
      </w:r>
      <w:r w:rsidRPr="00C44EF7">
        <w:rPr>
          <w:rFonts w:ascii="Times New Roman" w:hAnsi="Times New Roman" w:cs="Times New Roman"/>
          <w:szCs w:val="20"/>
        </w:rPr>
        <w:t>industry</w:t>
      </w:r>
      <w:r w:rsidRPr="00C44EF7">
        <w:rPr>
          <w:rFonts w:ascii="Times New Roman" w:hAnsi="Times New Roman" w:cs="Times New Roman" w:hint="eastAsia"/>
          <w:szCs w:val="20"/>
        </w:rPr>
        <w:t xml:space="preserve"> (the equilibrium effect of </w:t>
      </w:r>
      <w:r w:rsidRPr="00C44EF7">
        <w:rPr>
          <w:rFonts w:ascii="Times New Roman" w:hAnsi="Times New Roman" w:cs="Times New Roman"/>
          <w:szCs w:val="20"/>
        </w:rPr>
        <w:t>business</w:t>
      </w:r>
      <w:r w:rsidRPr="00C44EF7">
        <w:rPr>
          <w:rFonts w:ascii="Times New Roman" w:hAnsi="Times New Roman" w:cs="Times New Roman" w:hint="eastAsia"/>
          <w:szCs w:val="20"/>
        </w:rPr>
        <w:t xml:space="preserve"> group), that is, when we consider member firms and non-member firms together. Similar to the results of non-member firms, high level of BSDI </w:t>
      </w:r>
      <w:r w:rsidRPr="00C44EF7">
        <w:rPr>
          <w:rFonts w:ascii="Times New Roman" w:hAnsi="Times New Roman" w:cs="Times New Roman"/>
          <w:szCs w:val="20"/>
        </w:rPr>
        <w:t xml:space="preserve">is </w:t>
      </w:r>
      <w:r w:rsidRPr="00C44EF7">
        <w:rPr>
          <w:rFonts w:ascii="Times New Roman" w:hAnsi="Times New Roman" w:cs="Times New Roman" w:hint="eastAsia"/>
          <w:szCs w:val="20"/>
        </w:rPr>
        <w:t>associated with high level of financial distress risk for the member and non-member firm combined sample. Considering the above mentioned result on non-member firms, the negative industry-wide effect is driven by the negative effect of business groups on non-member firms.</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Third, we find evidence that the effect of </w:t>
      </w:r>
      <w:r w:rsidRPr="00C44EF7">
        <w:rPr>
          <w:rFonts w:ascii="Times New Roman" w:hAnsi="Times New Roman" w:cs="Times New Roman"/>
          <w:szCs w:val="20"/>
        </w:rPr>
        <w:t>business</w:t>
      </w:r>
      <w:r w:rsidRPr="00C44EF7">
        <w:rPr>
          <w:rFonts w:ascii="Times New Roman" w:hAnsi="Times New Roman" w:cs="Times New Roman" w:hint="eastAsia"/>
          <w:szCs w:val="20"/>
        </w:rPr>
        <w:t xml:space="preserve"> group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w:t>
      </w:r>
      <w:r w:rsidRPr="00C44EF7">
        <w:rPr>
          <w:rFonts w:ascii="Times New Roman" w:hAnsi="Times New Roman" w:cs="Times New Roman"/>
          <w:szCs w:val="20"/>
        </w:rPr>
        <w:t>financial</w:t>
      </w:r>
      <w:r w:rsidRPr="00C44EF7">
        <w:rPr>
          <w:rFonts w:ascii="Times New Roman" w:hAnsi="Times New Roman" w:cs="Times New Roman" w:hint="eastAsia"/>
          <w:szCs w:val="20"/>
        </w:rPr>
        <w:t xml:space="preserve"> distress risk is stronger when non-member firms have </w:t>
      </w:r>
      <w:r w:rsidRPr="00C44EF7">
        <w:rPr>
          <w:rFonts w:ascii="Times New Roman" w:hAnsi="Times New Roman" w:cs="Times New Roman"/>
          <w:szCs w:val="20"/>
        </w:rPr>
        <w:t xml:space="preserve">relatively </w:t>
      </w:r>
      <w:r w:rsidRPr="00C44EF7">
        <w:rPr>
          <w:rFonts w:ascii="Times New Roman" w:hAnsi="Times New Roman" w:cs="Times New Roman" w:hint="eastAsia"/>
          <w:szCs w:val="20"/>
        </w:rPr>
        <w:t xml:space="preserve">high financial constraint. Specifically, the coefficient of BSDI for non-member firms with low asset tangibility ratio is much </w:t>
      </w:r>
      <w:r w:rsidRPr="00C44EF7">
        <w:rPr>
          <w:rFonts w:ascii="Times New Roman" w:hAnsi="Times New Roman" w:cs="Times New Roman"/>
          <w:szCs w:val="20"/>
        </w:rPr>
        <w:t>larger</w:t>
      </w:r>
      <w:r w:rsidRPr="00C44EF7">
        <w:rPr>
          <w:rFonts w:ascii="Times New Roman" w:hAnsi="Times New Roman" w:cs="Times New Roman" w:hint="eastAsia"/>
          <w:szCs w:val="20"/>
        </w:rPr>
        <w:t xml:space="preserve"> compared to that for non-member firms with high asset </w:t>
      </w:r>
      <w:r w:rsidRPr="00C44EF7">
        <w:rPr>
          <w:rFonts w:ascii="Times New Roman" w:hAnsi="Times New Roman" w:cs="Times New Roman"/>
          <w:szCs w:val="20"/>
        </w:rPr>
        <w:t>tangibility</w:t>
      </w:r>
      <w:r w:rsidRPr="00C44EF7">
        <w:rPr>
          <w:rFonts w:ascii="Times New Roman" w:hAnsi="Times New Roman" w:cs="Times New Roman" w:hint="eastAsia"/>
          <w:szCs w:val="20"/>
        </w:rPr>
        <w:t xml:space="preserve"> and the difference in BSDI</w:t>
      </w:r>
      <w:r w:rsidRPr="00C44EF7">
        <w:rPr>
          <w:rFonts w:ascii="Times New Roman" w:hAnsi="Times New Roman" w:cs="Times New Roman"/>
          <w:szCs w:val="20"/>
        </w:rPr>
        <w:t>’</w:t>
      </w:r>
      <w:r w:rsidRPr="00C44EF7">
        <w:rPr>
          <w:rFonts w:ascii="Times New Roman" w:hAnsi="Times New Roman" w:cs="Times New Roman" w:hint="eastAsia"/>
          <w:szCs w:val="20"/>
        </w:rPr>
        <w:t>s coefficients is statistically</w:t>
      </w:r>
      <w:r w:rsidRPr="00C44EF7">
        <w:rPr>
          <w:rFonts w:ascii="Times New Roman" w:hAnsi="Times New Roman" w:cs="Times New Roman"/>
          <w:szCs w:val="20"/>
        </w:rPr>
        <w:t xml:space="preserve"> significant</w:t>
      </w:r>
      <w:r w:rsidRPr="00C44EF7">
        <w:rPr>
          <w:rFonts w:ascii="Times New Roman" w:hAnsi="Times New Roman" w:cs="Times New Roman" w:hint="eastAsia"/>
          <w:szCs w:val="20"/>
        </w:rPr>
        <w:t xml:space="preserve">. We also show that when there is a negative </w:t>
      </w:r>
      <w:r w:rsidRPr="00C44EF7">
        <w:rPr>
          <w:rFonts w:ascii="Times New Roman" w:hAnsi="Times New Roman" w:cs="Times New Roman"/>
          <w:szCs w:val="20"/>
        </w:rPr>
        <w:t>exogenous</w:t>
      </w:r>
      <w:r w:rsidRPr="00C44EF7">
        <w:rPr>
          <w:rFonts w:ascii="Times New Roman" w:hAnsi="Times New Roman" w:cs="Times New Roman" w:hint="eastAsia"/>
          <w:szCs w:val="20"/>
        </w:rPr>
        <w:t xml:space="preserve"> shock in </w:t>
      </w:r>
      <w:r w:rsidR="007852F2">
        <w:rPr>
          <w:rFonts w:ascii="Times New Roman" w:hAnsi="Times New Roman" w:cs="Times New Roman" w:hint="eastAsia"/>
          <w:szCs w:val="20"/>
        </w:rPr>
        <w:t xml:space="preserve">the external financial market, </w:t>
      </w:r>
      <w:r w:rsidRPr="00C44EF7">
        <w:rPr>
          <w:rFonts w:ascii="Times New Roman" w:hAnsi="Times New Roman" w:cs="Times New Roman" w:hint="eastAsia"/>
          <w:szCs w:val="20"/>
        </w:rPr>
        <w:t>making</w:t>
      </w:r>
      <w:r w:rsidRPr="00C44EF7">
        <w:rPr>
          <w:rFonts w:ascii="Times New Roman" w:hAnsi="Times New Roman" w:cs="Times New Roman"/>
          <w:szCs w:val="20"/>
        </w:rPr>
        <w:t xml:space="preserve"> </w:t>
      </w:r>
      <w:r w:rsidRPr="00C44EF7">
        <w:rPr>
          <w:rFonts w:ascii="Times New Roman" w:hAnsi="Times New Roman" w:cs="Times New Roman" w:hint="eastAsia"/>
          <w:szCs w:val="20"/>
        </w:rPr>
        <w:t>non-member firms more financially constrained, the effect of business group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is much larger. </w:t>
      </w:r>
      <w:proofErr w:type="gramStart"/>
      <w:r w:rsidRPr="00C44EF7">
        <w:rPr>
          <w:rFonts w:ascii="Times New Roman" w:hAnsi="Times New Roman" w:cs="Times New Roman" w:hint="eastAsia"/>
          <w:szCs w:val="20"/>
        </w:rPr>
        <w:t xml:space="preserve">Compared to the non-crisis period, the </w:t>
      </w:r>
      <w:r w:rsidRPr="00C44EF7">
        <w:rPr>
          <w:rFonts w:ascii="Times New Roman" w:hAnsi="Times New Roman" w:cs="Times New Roman"/>
          <w:szCs w:val="20"/>
        </w:rPr>
        <w:t>coefficient</w:t>
      </w:r>
      <w:r w:rsidRPr="00C44EF7">
        <w:rPr>
          <w:rFonts w:ascii="Times New Roman" w:hAnsi="Times New Roman" w:cs="Times New Roman" w:hint="eastAsia"/>
          <w:szCs w:val="20"/>
        </w:rPr>
        <w:t xml:space="preserve"> of BSDI for the 2007-2009 global financial crisis period more than doubled in magnitude.</w:t>
      </w:r>
      <w:proofErr w:type="gramEnd"/>
      <w:r w:rsidRPr="00C44EF7">
        <w:rPr>
          <w:rFonts w:ascii="Times New Roman" w:hAnsi="Times New Roman" w:cs="Times New Roman" w:hint="eastAsia"/>
          <w:szCs w:val="20"/>
        </w:rPr>
        <w:t xml:space="preserve"> These findings suggest that financial constraint of non-member firms serve as a </w:t>
      </w:r>
      <w:r w:rsidRPr="00C44EF7">
        <w:rPr>
          <w:rFonts w:ascii="Times New Roman" w:hAnsi="Times New Roman" w:cs="Times New Roman" w:hint="eastAsia"/>
          <w:szCs w:val="20"/>
        </w:rPr>
        <w:lastRenderedPageBreak/>
        <w:t>necessary condition for business group</w:t>
      </w:r>
      <w:r w:rsidRPr="00C44EF7">
        <w:rPr>
          <w:rFonts w:ascii="Times New Roman" w:hAnsi="Times New Roman" w:cs="Times New Roman"/>
          <w:szCs w:val="20"/>
        </w:rPr>
        <w:t>’</w:t>
      </w:r>
      <w:r w:rsidRPr="00C44EF7">
        <w:rPr>
          <w:rFonts w:ascii="Times New Roman" w:hAnsi="Times New Roman" w:cs="Times New Roman" w:hint="eastAsia"/>
          <w:szCs w:val="20"/>
        </w:rPr>
        <w:t xml:space="preserve">s influence to take effect. </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Overall, by providing empirical evidence that the existence of business group can be </w:t>
      </w:r>
      <w:r w:rsidRPr="00C44EF7">
        <w:rPr>
          <w:rFonts w:ascii="Times New Roman" w:hAnsi="Times New Roman" w:cs="Times New Roman"/>
          <w:szCs w:val="20"/>
        </w:rPr>
        <w:t>detrimental</w:t>
      </w:r>
      <w:r w:rsidRPr="00C44EF7">
        <w:rPr>
          <w:rFonts w:ascii="Times New Roman" w:hAnsi="Times New Roman" w:cs="Times New Roman" w:hint="eastAsia"/>
          <w:szCs w:val="20"/>
        </w:rPr>
        <w:t xml:space="preserve"> to the financial health of other firms in the industry, our study contributes to the </w:t>
      </w:r>
      <w:r w:rsidRPr="00C44EF7">
        <w:rPr>
          <w:rFonts w:ascii="Times New Roman" w:hAnsi="Times New Roman" w:cs="Times New Roman"/>
          <w:szCs w:val="20"/>
        </w:rPr>
        <w:t>literature</w:t>
      </w:r>
      <w:r w:rsidRPr="00C44EF7">
        <w:rPr>
          <w:rFonts w:ascii="Times New Roman" w:hAnsi="Times New Roman" w:cs="Times New Roman" w:hint="eastAsia"/>
          <w:szCs w:val="20"/>
        </w:rPr>
        <w:t xml:space="preserve"> that investigates the e</w:t>
      </w:r>
      <w:r w:rsidR="007852F2">
        <w:rPr>
          <w:rFonts w:ascii="Times New Roman" w:hAnsi="Times New Roman" w:cs="Times New Roman" w:hint="eastAsia"/>
          <w:szCs w:val="20"/>
        </w:rPr>
        <w:t xml:space="preserve">xternality of business groups. </w:t>
      </w:r>
      <w:r w:rsidRPr="00C44EF7">
        <w:rPr>
          <w:rFonts w:ascii="Times New Roman" w:hAnsi="Times New Roman" w:cs="Times New Roman" w:hint="eastAsia"/>
          <w:szCs w:val="20"/>
        </w:rPr>
        <w:t xml:space="preserve">Especially, this is the first study that shows the effect of business group on the financial distress risk of non-member firms. Moreover, we believe that our findings also have important policy implications. As stated in Almeida and </w:t>
      </w:r>
      <w:proofErr w:type="spellStart"/>
      <w:r w:rsidRPr="00C44EF7">
        <w:rPr>
          <w:rFonts w:ascii="Times New Roman" w:hAnsi="Times New Roman" w:cs="Times New Roman" w:hint="eastAsia"/>
          <w:szCs w:val="20"/>
        </w:rPr>
        <w:t>Wolfenzon</w:t>
      </w:r>
      <w:proofErr w:type="spellEnd"/>
      <w:r w:rsidRPr="00C44EF7">
        <w:rPr>
          <w:rFonts w:ascii="Times New Roman" w:hAnsi="Times New Roman" w:cs="Times New Roman" w:hint="eastAsia"/>
          <w:szCs w:val="20"/>
        </w:rPr>
        <w:t xml:space="preserve"> (2006), although internal </w:t>
      </w:r>
      <w:r w:rsidRPr="00C44EF7">
        <w:rPr>
          <w:rFonts w:ascii="Times New Roman" w:hAnsi="Times New Roman" w:cs="Times New Roman"/>
          <w:szCs w:val="20"/>
        </w:rPr>
        <w:t>capital</w:t>
      </w:r>
      <w:r w:rsidRPr="00C44EF7">
        <w:rPr>
          <w:rFonts w:ascii="Times New Roman" w:hAnsi="Times New Roman" w:cs="Times New Roman" w:hint="eastAsia"/>
          <w:szCs w:val="20"/>
        </w:rPr>
        <w:t xml:space="preserve"> market within a business group may be efficient and member firms may enjoy various benefits from it, it can still be detrimental to </w:t>
      </w:r>
      <w:r w:rsidRPr="00C44EF7">
        <w:rPr>
          <w:rFonts w:ascii="Times New Roman" w:hAnsi="Times New Roman" w:cs="Times New Roman"/>
          <w:szCs w:val="20"/>
        </w:rPr>
        <w:t>overall</w:t>
      </w:r>
      <w:r w:rsidRPr="00C44EF7">
        <w:rPr>
          <w:rFonts w:ascii="Times New Roman" w:hAnsi="Times New Roman" w:cs="Times New Roman" w:hint="eastAsia"/>
          <w:szCs w:val="20"/>
        </w:rPr>
        <w:t xml:space="preserve"> economic health. This study provides an evidence supporting this argument and suggests that policy makers pay closer attention to potential negative external effect of business groups in their policy making process.  </w:t>
      </w:r>
    </w:p>
    <w:p w:rsidR="0011479B"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The rest of the paper is organized as follows. Section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2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II</w:t>
      </w:r>
      <w:r w:rsidR="00886B05">
        <w:rPr>
          <w:rFonts w:ascii="Times New Roman" w:hAnsi="Times New Roman" w:cs="Times New Roman"/>
          <w:szCs w:val="20"/>
        </w:rPr>
        <w:fldChar w:fldCharType="end"/>
      </w:r>
      <w:r w:rsidRPr="00C44EF7">
        <w:rPr>
          <w:rFonts w:ascii="Times New Roman" w:hAnsi="Times New Roman" w:cs="Times New Roman" w:hint="eastAsia"/>
          <w:szCs w:val="20"/>
        </w:rPr>
        <w:t xml:space="preserve"> develops the hypotheses tested later. Section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3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III</w:t>
      </w:r>
      <w:r w:rsidR="00886B05">
        <w:rPr>
          <w:rFonts w:ascii="Times New Roman" w:hAnsi="Times New Roman" w:cs="Times New Roman"/>
          <w:szCs w:val="20"/>
        </w:rPr>
        <w:fldChar w:fldCharType="end"/>
      </w:r>
      <w:r w:rsidRPr="00C44EF7">
        <w:rPr>
          <w:rFonts w:ascii="Times New Roman" w:hAnsi="Times New Roman" w:cs="Times New Roman" w:hint="eastAsia"/>
          <w:szCs w:val="20"/>
        </w:rPr>
        <w:t xml:space="preserve"> explains our main variables and discusses our empirical strategy. Section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4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IV</w:t>
      </w:r>
      <w:r w:rsidR="00886B05">
        <w:rPr>
          <w:rFonts w:ascii="Times New Roman" w:hAnsi="Times New Roman" w:cs="Times New Roman"/>
          <w:szCs w:val="20"/>
        </w:rPr>
        <w:fldChar w:fldCharType="end"/>
      </w:r>
      <w:r w:rsidRPr="00C44EF7">
        <w:rPr>
          <w:rFonts w:ascii="Times New Roman" w:hAnsi="Times New Roman" w:cs="Times New Roman" w:hint="eastAsia"/>
          <w:szCs w:val="20"/>
        </w:rPr>
        <w:t xml:space="preserve"> describes our sample and Section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5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V</w:t>
      </w:r>
      <w:r w:rsidR="00886B05">
        <w:rPr>
          <w:rFonts w:ascii="Times New Roman" w:hAnsi="Times New Roman" w:cs="Times New Roman"/>
          <w:szCs w:val="20"/>
        </w:rPr>
        <w:fldChar w:fldCharType="end"/>
      </w:r>
      <w:r w:rsidRPr="00C44EF7">
        <w:rPr>
          <w:rFonts w:ascii="Times New Roman" w:hAnsi="Times New Roman" w:cs="Times New Roman" w:hint="eastAsia"/>
          <w:szCs w:val="20"/>
        </w:rPr>
        <w:t xml:space="preserve"> presents the empirical results. Then</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we conclude in Section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6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VI</w:t>
      </w:r>
      <w:r w:rsidR="00886B05">
        <w:rPr>
          <w:rFonts w:ascii="Times New Roman" w:hAnsi="Times New Roman" w:cs="Times New Roman"/>
          <w:szCs w:val="20"/>
        </w:rPr>
        <w:fldChar w:fldCharType="end"/>
      </w:r>
      <w:r w:rsidRPr="00C44EF7">
        <w:rPr>
          <w:rFonts w:ascii="Times New Roman" w:hAnsi="Times New Roman" w:cs="Times New Roman" w:hint="eastAsia"/>
          <w:szCs w:val="20"/>
        </w:rPr>
        <w:t>.</w:t>
      </w:r>
    </w:p>
    <w:p w:rsidR="00C44EF7" w:rsidRDefault="00C44EF7" w:rsidP="00C44EF7">
      <w:pPr>
        <w:spacing w:line="480" w:lineRule="auto"/>
        <w:contextualSpacing/>
        <w:rPr>
          <w:rFonts w:ascii="Times New Roman" w:hAnsi="Times New Roman" w:cs="Times New Roman"/>
          <w:szCs w:val="20"/>
        </w:rPr>
      </w:pPr>
    </w:p>
    <w:p w:rsidR="00C44EF7" w:rsidRPr="00C44EF7" w:rsidRDefault="00886B05" w:rsidP="00C44EF7">
      <w:pPr>
        <w:spacing w:line="480" w:lineRule="auto"/>
        <w:contextualSpacing/>
        <w:rPr>
          <w:rFonts w:ascii="Times New Roman" w:hAnsi="Times New Roman" w:cs="Times New Roman"/>
          <w:b/>
          <w:sz w:val="30"/>
          <w:szCs w:val="30"/>
        </w:rPr>
      </w:pPr>
      <w:r>
        <w:rPr>
          <w:rFonts w:ascii="Times New Roman" w:hAnsi="Times New Roman" w:cs="Times New Roman"/>
          <w:b/>
          <w:sz w:val="30"/>
          <w:szCs w:val="30"/>
        </w:rPr>
        <w:fldChar w:fldCharType="begin"/>
      </w:r>
      <w:r w:rsidR="00C44EF7">
        <w:rPr>
          <w:rFonts w:ascii="Times New Roman" w:eastAsia="SimSun" w:hAnsi="Times New Roman" w:cs="Times New Roman"/>
          <w:b/>
          <w:sz w:val="30"/>
          <w:szCs w:val="30"/>
          <w:lang w:eastAsia="zh-CN"/>
        </w:rPr>
        <w:instrText xml:space="preserve"> </w:instrText>
      </w:r>
      <w:r w:rsidR="00C44EF7">
        <w:rPr>
          <w:rFonts w:ascii="Times New Roman" w:eastAsia="SimSun" w:hAnsi="Times New Roman" w:cs="Times New Roman" w:hint="eastAsia"/>
          <w:b/>
          <w:sz w:val="30"/>
          <w:szCs w:val="30"/>
          <w:lang w:eastAsia="zh-CN"/>
        </w:rPr>
        <w:instrText>= 2 \* ROMAN</w:instrText>
      </w:r>
      <w:r w:rsidR="00C44EF7">
        <w:rPr>
          <w:rFonts w:ascii="Times New Roman" w:eastAsia="SimSun" w:hAnsi="Times New Roman" w:cs="Times New Roman"/>
          <w:b/>
          <w:sz w:val="30"/>
          <w:szCs w:val="30"/>
          <w:lang w:eastAsia="zh-CN"/>
        </w:rPr>
        <w:instrText xml:space="preserve"> </w:instrText>
      </w:r>
      <w:r>
        <w:rPr>
          <w:rFonts w:ascii="Times New Roman" w:hAnsi="Times New Roman" w:cs="Times New Roman"/>
          <w:b/>
          <w:sz w:val="30"/>
          <w:szCs w:val="30"/>
        </w:rPr>
        <w:fldChar w:fldCharType="separate"/>
      </w:r>
      <w:proofErr w:type="gramStart"/>
      <w:r w:rsidR="00C44EF7">
        <w:rPr>
          <w:rFonts w:ascii="Times New Roman" w:eastAsia="SimSun" w:hAnsi="Times New Roman" w:cs="Times New Roman"/>
          <w:b/>
          <w:noProof/>
          <w:sz w:val="30"/>
          <w:szCs w:val="30"/>
          <w:lang w:eastAsia="zh-CN"/>
        </w:rPr>
        <w:t>II</w:t>
      </w:r>
      <w:r>
        <w:rPr>
          <w:rFonts w:ascii="Times New Roman" w:hAnsi="Times New Roman" w:cs="Times New Roman"/>
          <w:b/>
          <w:sz w:val="30"/>
          <w:szCs w:val="30"/>
        </w:rPr>
        <w:fldChar w:fldCharType="end"/>
      </w:r>
      <w:r w:rsidR="00C44EF7" w:rsidRPr="00C44EF7">
        <w:rPr>
          <w:rFonts w:ascii="Times New Roman" w:hAnsi="Times New Roman" w:cs="Times New Roman" w:hint="eastAsia"/>
          <w:b/>
          <w:sz w:val="30"/>
          <w:szCs w:val="30"/>
        </w:rPr>
        <w:t>.</w:t>
      </w:r>
      <w:proofErr w:type="gramEnd"/>
      <w:r w:rsidR="00C44EF7" w:rsidRPr="00C44EF7">
        <w:rPr>
          <w:rFonts w:ascii="Times New Roman" w:hAnsi="Times New Roman" w:cs="Times New Roman" w:hint="eastAsia"/>
          <w:b/>
          <w:sz w:val="30"/>
          <w:szCs w:val="30"/>
        </w:rPr>
        <w:t xml:space="preserve"> Hypothesis Development</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In this section, we develop the hypotheses that we examine in the later section. As </w:t>
      </w:r>
      <w:r w:rsidRPr="00C44EF7">
        <w:rPr>
          <w:rFonts w:ascii="Times New Roman" w:hAnsi="Times New Roman" w:cs="Times New Roman"/>
          <w:szCs w:val="20"/>
        </w:rPr>
        <w:t>briefly</w:t>
      </w:r>
      <w:r w:rsidRPr="00C44EF7">
        <w:rPr>
          <w:rFonts w:ascii="Times New Roman" w:hAnsi="Times New Roman" w:cs="Times New Roman" w:hint="eastAsia"/>
          <w:szCs w:val="20"/>
        </w:rPr>
        <w:t xml:space="preserve"> explained above, the existence of business group can affect the financial distress risk of other firms through different channels. According to</w:t>
      </w:r>
      <w:r w:rsidRPr="00C44EF7">
        <w:rPr>
          <w:rFonts w:ascii="Times New Roman" w:hAnsi="Times New Roman" w:cs="Times New Roman"/>
          <w:szCs w:val="20"/>
        </w:rPr>
        <w:t xml:space="preserve"> </w:t>
      </w:r>
      <w:hyperlink w:anchor="_ENREF_1" w:tooltip="Almeida, 2006 #53" w:history="1">
        <w:r w:rsidRPr="00C44EF7">
          <w:rPr>
            <w:rFonts w:ascii="Times New Roman" w:hAnsi="Times New Roman" w:cs="Times New Roman"/>
            <w:szCs w:val="20"/>
          </w:rPr>
          <w:t>Almeida and Wolfenzon (2006</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or the financing channel as we call in this study</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the inefficiency of the capital allocation in external capital market caused by internal capital market within business groups can make non-member firms financially more constrained. As a result, non-member firms may miss profitable investment opportunities and lose their market shares, </w:t>
      </w:r>
      <w:r w:rsidRPr="00C44EF7">
        <w:rPr>
          <w:rFonts w:ascii="Times New Roman" w:hAnsi="Times New Roman" w:cs="Times New Roman"/>
          <w:szCs w:val="20"/>
        </w:rPr>
        <w:t>which</w:t>
      </w:r>
      <w:r w:rsidRPr="00C44EF7">
        <w:rPr>
          <w:rFonts w:ascii="Times New Roman" w:hAnsi="Times New Roman" w:cs="Times New Roman" w:hint="eastAsia"/>
          <w:szCs w:val="20"/>
        </w:rPr>
        <w:t xml:space="preserve"> can increase their financial distress risk.  </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Prior studies, however, also suggest that the financing channel is not the only possible mechanism that business groups can affect the financial </w:t>
      </w:r>
      <w:r w:rsidRPr="00C44EF7">
        <w:rPr>
          <w:rFonts w:ascii="Times New Roman" w:hAnsi="Times New Roman" w:cs="Times New Roman"/>
          <w:szCs w:val="20"/>
        </w:rPr>
        <w:t>distress</w:t>
      </w:r>
      <w:r w:rsidRPr="00C44EF7">
        <w:rPr>
          <w:rFonts w:ascii="Times New Roman" w:hAnsi="Times New Roman" w:cs="Times New Roman" w:hint="eastAsia"/>
          <w:szCs w:val="20"/>
        </w:rPr>
        <w:t xml:space="preserve"> r</w:t>
      </w:r>
      <w:r w:rsidR="007852F2">
        <w:rPr>
          <w:rFonts w:ascii="Times New Roman" w:hAnsi="Times New Roman" w:cs="Times New Roman" w:hint="eastAsia"/>
          <w:szCs w:val="20"/>
        </w:rPr>
        <w:t xml:space="preserve">isk of non-member firms. </w:t>
      </w:r>
      <w:r w:rsidRPr="00C44EF7">
        <w:rPr>
          <w:rFonts w:ascii="Times New Roman" w:hAnsi="Times New Roman" w:cs="Times New Roman" w:hint="eastAsia"/>
          <w:szCs w:val="20"/>
        </w:rPr>
        <w:t>Business groups can increase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by simply </w:t>
      </w:r>
      <w:r w:rsidRPr="00C44EF7">
        <w:rPr>
          <w:rFonts w:ascii="Times New Roman" w:hAnsi="Times New Roman" w:cs="Times New Roman"/>
          <w:szCs w:val="20"/>
        </w:rPr>
        <w:t>competing</w:t>
      </w:r>
      <w:r w:rsidRPr="00C44EF7">
        <w:rPr>
          <w:rFonts w:ascii="Times New Roman" w:hAnsi="Times New Roman" w:cs="Times New Roman" w:hint="eastAsia"/>
          <w:szCs w:val="20"/>
        </w:rPr>
        <w:t xml:space="preserve"> with the</w:t>
      </w:r>
      <w:r w:rsidRPr="00C44EF7">
        <w:rPr>
          <w:rFonts w:ascii="Times New Roman" w:hAnsi="Times New Roman" w:cs="Times New Roman"/>
          <w:szCs w:val="20"/>
        </w:rPr>
        <w:t>m</w:t>
      </w:r>
      <w:r w:rsidRPr="00C44EF7">
        <w:rPr>
          <w:rFonts w:ascii="Times New Roman" w:hAnsi="Times New Roman" w:cs="Times New Roman" w:hint="eastAsia"/>
          <w:szCs w:val="20"/>
        </w:rPr>
        <w:t xml:space="preserve"> in the</w:t>
      </w:r>
      <w:r w:rsidRPr="00C44EF7">
        <w:rPr>
          <w:rFonts w:ascii="Times New Roman" w:hAnsi="Times New Roman" w:cs="Times New Roman"/>
          <w:szCs w:val="20"/>
        </w:rPr>
        <w:t xml:space="preserve"> same</w:t>
      </w:r>
      <w:r w:rsidRPr="00C44EF7">
        <w:rPr>
          <w:rFonts w:ascii="Times New Roman" w:hAnsi="Times New Roman" w:cs="Times New Roman" w:hint="eastAsia"/>
          <w:szCs w:val="20"/>
        </w:rPr>
        <w:t xml:space="preserve"> product market (the product market channel). Earlier studies have shown that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is closely related to the competition level among firms in the same industry. For example, </w:t>
      </w:r>
      <w:hyperlink w:anchor="_ENREF_18" w:tooltip="Huang, 2013 #102" w:history="1">
        <w:r w:rsidRPr="00C44EF7">
          <w:rPr>
            <w:rFonts w:ascii="Times New Roman" w:hAnsi="Times New Roman" w:cs="Times New Roman"/>
            <w:szCs w:val="20"/>
          </w:rPr>
          <w:t>Huang and Lee (2013</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show that firms with relatively small ma</w:t>
      </w:r>
      <w:r w:rsidR="00525792">
        <w:rPr>
          <w:rFonts w:ascii="Times New Roman" w:hAnsi="Times New Roman" w:cs="Times New Roman" w:hint="eastAsia"/>
          <w:szCs w:val="20"/>
        </w:rPr>
        <w:t>rk</w:t>
      </w:r>
      <w:r w:rsidRPr="00C44EF7">
        <w:rPr>
          <w:rFonts w:ascii="Times New Roman" w:hAnsi="Times New Roman" w:cs="Times New Roman" w:hint="eastAsia"/>
          <w:szCs w:val="20"/>
        </w:rPr>
        <w:t>et share tend to have high probability of default when they compete with strong rivals with large market shares. In addition,</w:t>
      </w:r>
      <w:r w:rsidRPr="00C44EF7">
        <w:rPr>
          <w:rFonts w:ascii="Times New Roman" w:hAnsi="Times New Roman" w:cs="Times New Roman"/>
          <w:szCs w:val="20"/>
        </w:rPr>
        <w:t xml:space="preserve"> </w:t>
      </w:r>
      <w:hyperlink w:anchor="_ENREF_5" w:tooltip="Bolton, 1990 #94" w:history="1">
        <w:r w:rsidRPr="00C44EF7">
          <w:rPr>
            <w:rFonts w:ascii="Times New Roman" w:hAnsi="Times New Roman" w:cs="Times New Roman"/>
            <w:szCs w:val="20"/>
          </w:rPr>
          <w:t>Bolton and Scharfstein (1990</w:t>
        </w:r>
      </w:hyperlink>
      <w:r w:rsidRPr="00C44EF7">
        <w:rPr>
          <w:rFonts w:ascii="Times New Roman" w:hAnsi="Times New Roman" w:cs="Times New Roman"/>
          <w:szCs w:val="20"/>
        </w:rPr>
        <w:t>) present a theory of predation</w:t>
      </w:r>
      <w:r w:rsidRPr="00C44EF7">
        <w:rPr>
          <w:rFonts w:ascii="Times New Roman" w:hAnsi="Times New Roman" w:cs="Times New Roman" w:hint="eastAsia"/>
          <w:szCs w:val="20"/>
        </w:rPr>
        <w:t xml:space="preserve"> in the product market</w:t>
      </w:r>
      <w:r w:rsidRPr="00C44EF7">
        <w:rPr>
          <w:rFonts w:ascii="Times New Roman" w:hAnsi="Times New Roman" w:cs="Times New Roman"/>
          <w:szCs w:val="20"/>
        </w:rPr>
        <w:t xml:space="preserve"> based on agency problems in financial contracting </w:t>
      </w:r>
      <w:r w:rsidRPr="00C44EF7">
        <w:rPr>
          <w:rFonts w:ascii="Times New Roman" w:hAnsi="Times New Roman" w:cs="Times New Roman" w:hint="eastAsia"/>
          <w:szCs w:val="20"/>
        </w:rPr>
        <w:t>and</w:t>
      </w:r>
      <w:r w:rsidRPr="00C44EF7">
        <w:rPr>
          <w:rFonts w:ascii="Times New Roman" w:hAnsi="Times New Roman" w:cs="Times New Roman"/>
          <w:szCs w:val="20"/>
        </w:rPr>
        <w:t xml:space="preserve"> suggest that by adopting aggressive competitive </w:t>
      </w:r>
      <w:r w:rsidRPr="00C44EF7">
        <w:rPr>
          <w:rFonts w:ascii="Times New Roman" w:hAnsi="Times New Roman" w:cs="Times New Roman"/>
          <w:szCs w:val="20"/>
        </w:rPr>
        <w:lastRenderedPageBreak/>
        <w:t xml:space="preserve">strategies such as </w:t>
      </w:r>
      <w:r w:rsidRPr="00C44EF7">
        <w:rPr>
          <w:rFonts w:ascii="Times New Roman" w:hAnsi="Times New Roman" w:cs="Times New Roman" w:hint="eastAsia"/>
          <w:szCs w:val="20"/>
        </w:rPr>
        <w:t>lowering</w:t>
      </w:r>
      <w:r w:rsidRPr="00C44EF7">
        <w:rPr>
          <w:rFonts w:ascii="Times New Roman" w:hAnsi="Times New Roman" w:cs="Times New Roman"/>
          <w:szCs w:val="20"/>
        </w:rPr>
        <w:t xml:space="preserve"> price or increasing advertisement</w:t>
      </w:r>
      <w:r w:rsidRPr="00C44EF7">
        <w:rPr>
          <w:rFonts w:ascii="Times New Roman" w:hAnsi="Times New Roman" w:cs="Times New Roman" w:hint="eastAsia"/>
          <w:szCs w:val="20"/>
        </w:rPr>
        <w:t>,</w:t>
      </w:r>
      <w:r w:rsidRPr="00C44EF7">
        <w:rPr>
          <w:rFonts w:ascii="Times New Roman" w:hAnsi="Times New Roman" w:cs="Times New Roman"/>
          <w:szCs w:val="20"/>
        </w:rPr>
        <w:t xml:space="preserve"> financially strong rivals in the product market can increase the exit risk of incumbent firms who have limited access to external capital.</w:t>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&lt;EndNote&gt;&lt;Cite&gt;&lt;Author&gt;Valta&lt;/Author&gt;&lt;Year&gt;2012&lt;/Year&gt;&lt;RecNum&gt;109&lt;/RecNum&gt;&lt;DisplayText&gt;Valta (2012)&lt;/DisplayText&gt;&lt;record&gt;&lt;rec-number&gt;109&lt;/rec-number&gt;&lt;foreign-keys&gt;&lt;key app="EN" db-id="0w9rezxppe2pzrezf0lpzvz3rp29t2ds5e5t"&gt;109&lt;/key&gt;&lt;/foreign-keys&gt;&lt;ref-type name="Journal Article"&gt;17&lt;/ref-type&gt;&lt;contributors&gt;&lt;authors&gt;&lt;author&gt;Valta, Philip&lt;/author&gt;&lt;/authors&gt;&lt;/contributors&gt;&lt;titles&gt;&lt;title&gt;Competition and the cost of debt&lt;/title&gt;&lt;secondary-title&gt;Journal of Financial Economics&lt;/secondary-title&gt;&lt;/titles&gt;&lt;periodical&gt;&lt;full-title&gt;Journal of Financial Economics&lt;/full-title&gt;&lt;/periodical&gt;&lt;pages&gt;661-682&lt;/pages&gt;&lt;volume&gt;105&lt;/volume&gt;&lt;number&gt;3&lt;/number&gt;&lt;dates&gt;&lt;year&gt;2012&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36" w:tooltip="Valta, 2012 #109" w:history="1">
        <w:r w:rsidR="00710C45" w:rsidRPr="00C44EF7">
          <w:rPr>
            <w:rFonts w:ascii="Times New Roman" w:hAnsi="Times New Roman" w:cs="Times New Roman"/>
            <w:szCs w:val="20"/>
          </w:rPr>
          <w:t>Valta (2012</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show that </w:t>
      </w:r>
      <w:r w:rsidRPr="00C44EF7">
        <w:rPr>
          <w:rFonts w:ascii="Times New Roman" w:hAnsi="Times New Roman" w:cs="Times New Roman"/>
          <w:szCs w:val="20"/>
        </w:rPr>
        <w:t>average loan spread is higher for more competitive industries</w:t>
      </w:r>
      <w:r w:rsidRPr="00C44EF7">
        <w:rPr>
          <w:rFonts w:ascii="Times New Roman" w:hAnsi="Times New Roman" w:cs="Times New Roman" w:hint="eastAsia"/>
          <w:szCs w:val="20"/>
        </w:rPr>
        <w:t>, implying that high competition among firms in the same industry can increase industry-wide financial distress risk</w:t>
      </w:r>
      <w:r w:rsidRPr="00C44EF7">
        <w:rPr>
          <w:rFonts w:ascii="Times New Roman" w:hAnsi="Times New Roman" w:cs="Times New Roman"/>
          <w:szCs w:val="20"/>
        </w:rPr>
        <w:t xml:space="preserve">. Moreover, the positive </w:t>
      </w:r>
      <w:r w:rsidRPr="00C44EF7">
        <w:rPr>
          <w:rFonts w:ascii="Times New Roman" w:hAnsi="Times New Roman" w:cs="Times New Roman" w:hint="eastAsia"/>
          <w:szCs w:val="20"/>
        </w:rPr>
        <w:t xml:space="preserve">association between </w:t>
      </w:r>
      <w:r w:rsidRPr="00C44EF7">
        <w:rPr>
          <w:rFonts w:ascii="Times New Roman" w:hAnsi="Times New Roman" w:cs="Times New Roman"/>
          <w:szCs w:val="20"/>
        </w:rPr>
        <w:t xml:space="preserve">industry competition intensity </w:t>
      </w:r>
      <w:r w:rsidRPr="00C44EF7">
        <w:rPr>
          <w:rFonts w:ascii="Times New Roman" w:hAnsi="Times New Roman" w:cs="Times New Roman" w:hint="eastAsia"/>
          <w:szCs w:val="20"/>
        </w:rPr>
        <w:t>and</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bank </w:t>
      </w:r>
      <w:r w:rsidRPr="00C44EF7">
        <w:rPr>
          <w:rFonts w:ascii="Times New Roman" w:hAnsi="Times New Roman" w:cs="Times New Roman"/>
          <w:szCs w:val="20"/>
        </w:rPr>
        <w:t xml:space="preserve">loan spread is </w:t>
      </w:r>
      <w:r w:rsidRPr="00C44EF7">
        <w:rPr>
          <w:rFonts w:ascii="Times New Roman" w:hAnsi="Times New Roman" w:cs="Times New Roman" w:hint="eastAsia"/>
          <w:szCs w:val="20"/>
        </w:rPr>
        <w:t>stronger</w:t>
      </w:r>
      <w:r w:rsidRPr="00C44EF7">
        <w:rPr>
          <w:rFonts w:ascii="Times New Roman" w:hAnsi="Times New Roman" w:cs="Times New Roman"/>
          <w:szCs w:val="20"/>
        </w:rPr>
        <w:t xml:space="preserve"> for small firms </w:t>
      </w:r>
      <w:r w:rsidRPr="00C44EF7">
        <w:rPr>
          <w:rFonts w:ascii="Times New Roman" w:hAnsi="Times New Roman" w:cs="Times New Roman" w:hint="eastAsia"/>
          <w:szCs w:val="20"/>
        </w:rPr>
        <w:t xml:space="preserve">competing </w:t>
      </w:r>
      <w:r w:rsidRPr="00C44EF7">
        <w:rPr>
          <w:rFonts w:ascii="Times New Roman" w:hAnsi="Times New Roman" w:cs="Times New Roman"/>
          <w:szCs w:val="20"/>
        </w:rPr>
        <w:t xml:space="preserve">with financially strong rivals.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&lt;EndNote&gt;&lt;Cite&gt;&lt;Author&gt;Chi&lt;/Author&gt;&lt;Year&gt;2015&lt;/Year&gt;&lt;RecNum&gt;95&lt;/RecNum&gt;&lt;DisplayText&gt;Chi and Su (2015)&lt;/DisplayText&gt;&lt;record&gt;&lt;rec-number&gt;95&lt;/rec-number&gt;&lt;foreign-keys&gt;&lt;key app="EN" db-id="0w9rezxppe2pzrezf0lpzvz3rp29t2ds5e5t"&gt;95&lt;/key&gt;&lt;/foreign-keys&gt;&lt;ref-type name="Journal Article"&gt;17&lt;/ref-type&gt;&lt;contributors&gt;&lt;authors&gt;&lt;author&gt;Chi, Jianxin Daniel&lt;/author&gt;&lt;author&gt;Su, Xunhua&lt;/author&gt;&lt;/authors&gt;&lt;/contributors&gt;&lt;titles&gt;&lt;title&gt;Product Market Threats and the Value of Corporate Cash Holdings&lt;/title&gt;&lt;secondary-title&gt;Financial Management&lt;/secondary-title&gt;&lt;/titles&gt;&lt;periodical&gt;&lt;full-title&gt;Financial Management&lt;/full-title&gt;&lt;/periodical&gt;&lt;dates&gt;&lt;year&gt;2015&lt;/year&gt;&lt;/dates&gt;&lt;isbn&gt;1755-053X&lt;/isbn&gt;&lt;urls&gt;&lt;/urls&gt;&lt;/record&gt;&lt;/Cite&gt;&lt;/EndNote&gt;</w:instrText>
      </w:r>
      <w:r w:rsidR="00886B05" w:rsidRPr="00C44EF7">
        <w:rPr>
          <w:rFonts w:ascii="Times New Roman" w:hAnsi="Times New Roman" w:cs="Times New Roman"/>
          <w:szCs w:val="20"/>
        </w:rPr>
        <w:fldChar w:fldCharType="separate"/>
      </w:r>
      <w:hyperlink w:anchor="_ENREF_14" w:tooltip="Chi, 2015 #95" w:history="1">
        <w:r w:rsidR="00710C45" w:rsidRPr="00C44EF7">
          <w:rPr>
            <w:rFonts w:ascii="Times New Roman" w:hAnsi="Times New Roman" w:cs="Times New Roman"/>
            <w:szCs w:val="20"/>
          </w:rPr>
          <w:t>Chi and Su (2015</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also </w:t>
      </w:r>
      <w:r w:rsidRPr="00C44EF7">
        <w:rPr>
          <w:rFonts w:ascii="Times New Roman" w:hAnsi="Times New Roman" w:cs="Times New Roman"/>
          <w:szCs w:val="20"/>
        </w:rPr>
        <w:t xml:space="preserve">show that the predation risk is higher </w:t>
      </w:r>
      <w:r w:rsidRPr="00C44EF7">
        <w:rPr>
          <w:rFonts w:ascii="Times New Roman" w:hAnsi="Times New Roman" w:cs="Times New Roman" w:hint="eastAsia"/>
          <w:szCs w:val="20"/>
        </w:rPr>
        <w:t xml:space="preserve">when a financially constrained firm competes with a </w:t>
      </w:r>
      <w:r w:rsidRPr="00C44EF7">
        <w:rPr>
          <w:rFonts w:ascii="Times New Roman" w:hAnsi="Times New Roman" w:cs="Times New Roman"/>
          <w:szCs w:val="20"/>
        </w:rPr>
        <w:t xml:space="preserve">financially strong rival </w:t>
      </w:r>
      <w:r w:rsidRPr="00C44EF7">
        <w:rPr>
          <w:rFonts w:ascii="Times New Roman" w:hAnsi="Times New Roman" w:cs="Times New Roman" w:hint="eastAsia"/>
          <w:szCs w:val="20"/>
        </w:rPr>
        <w:t>in the same industry</w:t>
      </w:r>
      <w:r w:rsidRPr="00C44EF7">
        <w:rPr>
          <w:rFonts w:ascii="Times New Roman" w:hAnsi="Times New Roman" w:cs="Times New Roman"/>
          <w:szCs w:val="20"/>
        </w:rPr>
        <w:t>.</w:t>
      </w:r>
      <w:r w:rsidRPr="00C44EF7">
        <w:rPr>
          <w:rFonts w:ascii="Times New Roman" w:hAnsi="Times New Roman" w:cs="Times New Roman" w:hint="eastAsia"/>
          <w:szCs w:val="20"/>
        </w:rPr>
        <w:t xml:space="preserve"> </w:t>
      </w:r>
      <w:r w:rsidRPr="00C44EF7">
        <w:rPr>
          <w:rFonts w:ascii="Times New Roman" w:hAnsi="Times New Roman" w:cs="Times New Roman"/>
          <w:szCs w:val="20"/>
        </w:rPr>
        <w:t xml:space="preserve">While these studies do not </w:t>
      </w:r>
      <w:r w:rsidRPr="00C44EF7">
        <w:rPr>
          <w:rFonts w:ascii="Times New Roman" w:hAnsi="Times New Roman" w:cs="Times New Roman" w:hint="eastAsia"/>
          <w:szCs w:val="20"/>
        </w:rPr>
        <w:t xml:space="preserve">specify </w:t>
      </w:r>
      <w:r w:rsidRPr="00C44EF7">
        <w:rPr>
          <w:rFonts w:ascii="Times New Roman" w:hAnsi="Times New Roman" w:cs="Times New Roman"/>
          <w:szCs w:val="20"/>
        </w:rPr>
        <w:t>exactly</w:t>
      </w:r>
      <w:r w:rsidRPr="00C44EF7">
        <w:rPr>
          <w:rFonts w:ascii="Times New Roman" w:hAnsi="Times New Roman" w:cs="Times New Roman" w:hint="eastAsia"/>
          <w:szCs w:val="20"/>
        </w:rPr>
        <w:t xml:space="preserve"> who the </w:t>
      </w:r>
      <w:r w:rsidRPr="00C44EF7">
        <w:rPr>
          <w:rFonts w:ascii="Times New Roman" w:hAnsi="Times New Roman" w:cs="Times New Roman"/>
          <w:szCs w:val="20"/>
        </w:rPr>
        <w:t>candidates for “strong rivals”</w:t>
      </w:r>
      <w:r w:rsidRPr="00C44EF7">
        <w:rPr>
          <w:rFonts w:ascii="Times New Roman" w:hAnsi="Times New Roman" w:cs="Times New Roman" w:hint="eastAsia"/>
          <w:szCs w:val="20"/>
        </w:rPr>
        <w:t xml:space="preserve"> are</w:t>
      </w:r>
      <w:r w:rsidRPr="00C44EF7">
        <w:rPr>
          <w:rFonts w:ascii="Times New Roman" w:hAnsi="Times New Roman" w:cs="Times New Roman"/>
          <w:szCs w:val="20"/>
        </w:rPr>
        <w:t xml:space="preserve">, </w:t>
      </w:r>
      <w:r w:rsidRPr="00C44EF7">
        <w:rPr>
          <w:rFonts w:ascii="Times New Roman" w:hAnsi="Times New Roman" w:cs="Times New Roman" w:hint="eastAsia"/>
          <w:szCs w:val="20"/>
        </w:rPr>
        <w:t xml:space="preserve">we argue that business group </w:t>
      </w:r>
      <w:r w:rsidRPr="00C44EF7">
        <w:rPr>
          <w:rFonts w:ascii="Times New Roman" w:hAnsi="Times New Roman" w:cs="Times New Roman"/>
          <w:szCs w:val="20"/>
        </w:rPr>
        <w:t xml:space="preserve">member firms could fit the description </w:t>
      </w:r>
      <w:r w:rsidRPr="00C44EF7">
        <w:rPr>
          <w:rFonts w:ascii="Times New Roman" w:hAnsi="Times New Roman" w:cs="Times New Roman" w:hint="eastAsia"/>
          <w:szCs w:val="20"/>
        </w:rPr>
        <w:t xml:space="preserve">of strong rivals </w:t>
      </w:r>
      <w:r w:rsidRPr="00C44EF7">
        <w:rPr>
          <w:rFonts w:ascii="Times New Roman" w:hAnsi="Times New Roman" w:cs="Times New Roman"/>
          <w:szCs w:val="20"/>
        </w:rPr>
        <w:t>either in terms of market share or financial strength</w:t>
      </w:r>
      <w:r w:rsidRPr="00C44EF7">
        <w:rPr>
          <w:rFonts w:ascii="Times New Roman" w:hAnsi="Times New Roman" w:cs="Times New Roman" w:hint="eastAsia"/>
          <w:szCs w:val="20"/>
        </w:rPr>
        <w:t xml:space="preserve">. Member firms can be </w:t>
      </w:r>
      <w:r w:rsidRPr="00C44EF7">
        <w:rPr>
          <w:rFonts w:ascii="Times New Roman" w:hAnsi="Times New Roman" w:cs="Times New Roman"/>
          <w:szCs w:val="20"/>
        </w:rPr>
        <w:t xml:space="preserve">strong rivals </w:t>
      </w:r>
      <w:r w:rsidRPr="00C44EF7">
        <w:rPr>
          <w:rFonts w:ascii="Times New Roman" w:hAnsi="Times New Roman" w:cs="Times New Roman" w:hint="eastAsia"/>
          <w:szCs w:val="20"/>
        </w:rPr>
        <w:t>due to the existence of internal capital market. There are, at least, two features of the internal capital market that are relevant for 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competitive strength such as market share and financial strength. The first feature is the so-called deep pocket effect of internal capital market, or the resource flexibility effect. Many prior studies have already provided </w:t>
      </w:r>
      <w:r w:rsidRPr="00C44EF7">
        <w:rPr>
          <w:rFonts w:ascii="Times New Roman" w:hAnsi="Times New Roman" w:cs="Times New Roman"/>
          <w:szCs w:val="20"/>
        </w:rPr>
        <w:t>theoretical</w:t>
      </w:r>
      <w:r w:rsidRPr="00C44EF7">
        <w:rPr>
          <w:rFonts w:ascii="Times New Roman" w:hAnsi="Times New Roman" w:cs="Times New Roman" w:hint="eastAsia"/>
          <w:szCs w:val="20"/>
        </w:rPr>
        <w:t xml:space="preserve"> models and empirical evidences supporting the </w:t>
      </w:r>
      <w:r w:rsidRPr="00C44EF7">
        <w:rPr>
          <w:rFonts w:ascii="Times New Roman" w:hAnsi="Times New Roman" w:cs="Times New Roman"/>
          <w:szCs w:val="20"/>
        </w:rPr>
        <w:t>argument</w:t>
      </w:r>
      <w:r w:rsidRPr="00C44EF7">
        <w:rPr>
          <w:rFonts w:ascii="Times New Roman" w:hAnsi="Times New Roman" w:cs="Times New Roman" w:hint="eastAsia"/>
          <w:szCs w:val="20"/>
        </w:rPr>
        <w:t xml:space="preserve"> that t</w:t>
      </w:r>
      <w:r w:rsidRPr="00C44EF7">
        <w:rPr>
          <w:rFonts w:ascii="Times New Roman" w:hAnsi="Times New Roman" w:cs="Times New Roman"/>
          <w:szCs w:val="20"/>
        </w:rPr>
        <w:t xml:space="preserve">he resource flexibility in business groups can inject capital into member firms with high cost of external capital, </w:t>
      </w:r>
      <w:r w:rsidRPr="00C44EF7">
        <w:rPr>
          <w:rFonts w:ascii="Times New Roman" w:hAnsi="Times New Roman" w:cs="Times New Roman" w:hint="eastAsia"/>
          <w:szCs w:val="20"/>
        </w:rPr>
        <w:t xml:space="preserve">allowing them to </w:t>
      </w:r>
      <w:r w:rsidRPr="00C44EF7">
        <w:rPr>
          <w:rFonts w:ascii="Times New Roman" w:hAnsi="Times New Roman" w:cs="Times New Roman"/>
          <w:szCs w:val="20"/>
        </w:rPr>
        <w:t>enjoy a competitive edge over stand-alone rivals</w:t>
      </w:r>
      <w:r w:rsidR="008E10AB">
        <w:rPr>
          <w:rStyle w:val="a4"/>
          <w:rFonts w:ascii="Times New Roman" w:hAnsi="Times New Roman" w:cs="Times New Roman"/>
          <w:szCs w:val="20"/>
        </w:rPr>
        <w:footnoteReference w:id="5"/>
      </w:r>
      <w:r w:rsidRPr="00C44EF7">
        <w:rPr>
          <w:rFonts w:ascii="Times New Roman" w:hAnsi="Times New Roman" w:cs="Times New Roman" w:hint="eastAsia"/>
          <w:szCs w:val="20"/>
        </w:rPr>
        <w:t xml:space="preserve"> (see, for example, </w:t>
      </w:r>
      <w:hyperlink w:anchor="_ENREF_14" w:tooltip="Cestone, 2005 #127" w:history="1">
        <w:r w:rsidRPr="00C44EF7">
          <w:rPr>
            <w:rFonts w:ascii="Times New Roman" w:hAnsi="Times New Roman" w:cs="Times New Roman"/>
            <w:szCs w:val="20"/>
          </w:rPr>
          <w:t>Cestone and Fumagalli (2005</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w:t>
      </w:r>
      <w:hyperlink w:anchor="_ENREF_19" w:tooltip="Faure-Grimaud, 2005 #126" w:history="1">
        <w:r w:rsidRPr="00C44EF7">
          <w:rPr>
            <w:rFonts w:ascii="Times New Roman" w:hAnsi="Times New Roman" w:cs="Times New Roman"/>
            <w:szCs w:val="20"/>
          </w:rPr>
          <w:t>Faure-Grimaud and Inderst (2005</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w:t>
      </w:r>
      <w:hyperlink w:anchor="_ENREF_33" w:tooltip="Mathews, 2008 #136" w:history="1">
        <w:r w:rsidRPr="00C44EF7">
          <w:rPr>
            <w:rFonts w:ascii="Times New Roman" w:hAnsi="Times New Roman" w:cs="Times New Roman"/>
            <w:szCs w:val="20"/>
          </w:rPr>
          <w:t>Mathews and Robinson (2008</w:t>
        </w:r>
      </w:hyperlink>
      <w:r w:rsidRPr="00C44EF7">
        <w:rPr>
          <w:rFonts w:ascii="Times New Roman" w:hAnsi="Times New Roman" w:cs="Times New Roman"/>
          <w:szCs w:val="20"/>
        </w:rPr>
        <w:t>)</w:t>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&lt;EndNote&gt;&lt;Cite&gt;&lt;Author&gt;Belenzon&lt;/Author&gt;&lt;Year&gt;2010&lt;/Year&gt;&lt;RecNum&gt;134&lt;/RecNum&gt;&lt;DisplayText&gt;Belenzon and Berkovitz (2010)&lt;/DisplayText&gt;&lt;record&gt;&lt;rec-number&gt;134&lt;/rec-number&gt;&lt;foreign-keys&gt;&lt;key app="EN" db-id="0w9rezxppe2pzrezf0lpzvz3rp29t2ds5e5t"&gt;134&lt;/key&gt;&lt;/foreign-keys&gt;&lt;ref-type name="Journal Article"&gt;17&lt;/ref-type&gt;&lt;contributors&gt;&lt;authors&gt;&lt;author&gt;Belenzon, Sharon&lt;/author&gt;&lt;author&gt;Berkovitz, Tomer&lt;/author&gt;&lt;/authors&gt;&lt;/contributors&gt;&lt;titles&gt;&lt;title&gt;Innovation in business groups&lt;/title&gt;&lt;secondary-title&gt;Management Science&lt;/secondary-title&gt;&lt;/titles&gt;&lt;periodical&gt;&lt;full-title&gt;Management Science&lt;/full-title&gt;&lt;/periodical&gt;&lt;pages&gt;519-535&lt;/pages&gt;&lt;volume&gt;56&lt;/volume&gt;&lt;number&gt;3&lt;/number&gt;&lt;dates&gt;&lt;year&gt;2010&lt;/year&gt;&lt;/dates&gt;&lt;isbn&gt;0025-1909&lt;/isbn&gt;&lt;urls&gt;&lt;/urls&gt;&lt;/record&gt;&lt;/Cite&gt;&lt;/EndNote&gt;</w:instrText>
      </w:r>
      <w:r w:rsidR="00886B05" w:rsidRPr="00C44EF7">
        <w:rPr>
          <w:rFonts w:ascii="Times New Roman" w:hAnsi="Times New Roman" w:cs="Times New Roman"/>
          <w:szCs w:val="20"/>
        </w:rPr>
        <w:fldChar w:fldCharType="separate"/>
      </w:r>
      <w:hyperlink w:anchor="_ENREF_7" w:tooltip="Belenzon, 2010 #134" w:history="1">
        <w:r w:rsidR="00710C45" w:rsidRPr="00C44EF7">
          <w:rPr>
            <w:rFonts w:ascii="Times New Roman" w:hAnsi="Times New Roman" w:cs="Times New Roman"/>
            <w:szCs w:val="20"/>
          </w:rPr>
          <w:t>Belenzon and Berkovitz (2010</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w:t>
      </w:r>
      <w:proofErr w:type="spellStart"/>
      <w:r w:rsidRPr="00C44EF7">
        <w:rPr>
          <w:rFonts w:ascii="Times New Roman" w:hAnsi="Times New Roman" w:cs="Times New Roman" w:hint="eastAsia"/>
          <w:szCs w:val="20"/>
        </w:rPr>
        <w:t>Skaliz</w:t>
      </w:r>
      <w:proofErr w:type="spellEnd"/>
      <w:r w:rsidRPr="00C44EF7">
        <w:rPr>
          <w:rFonts w:ascii="Times New Roman" w:hAnsi="Times New Roman" w:cs="Times New Roman" w:hint="eastAsia"/>
          <w:szCs w:val="20"/>
        </w:rPr>
        <w:t xml:space="preserve"> (2002),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&lt;EndNote&gt;&lt;Cite&gt;&lt;Author&gt;Baek&lt;/Author&gt;&lt;Year&gt;2004&lt;/Year&gt;&lt;RecNum&gt;69&lt;/RecNum&gt;&lt;DisplayText&gt;Baek, Kang and Park (2004)&lt;/DisplayText&gt;&lt;record&gt;&lt;rec-number&gt;69&lt;/rec-number&gt;&lt;foreign-keys&gt;&lt;key app="EN" db-id="0w9rezxppe2pzrezf0lpzvz3rp29t2ds5e5t"&gt;69&lt;/key&gt;&lt;/foreign-keys&gt;&lt;ref-type name="Journal Article"&gt;17&lt;/ref-type&gt;&lt;contributors&gt;&lt;authors&gt;&lt;author&gt;Baek, Jae-Seung&lt;/author&gt;&lt;author&gt;Kang, Jun-Koo&lt;/author&gt;&lt;author&gt;Park, Kyung Suh&lt;/author&gt;&lt;/authors&gt;&lt;/contributors&gt;&lt;titles&gt;&lt;title&gt;Corporate governance and firm value: Evidence from the Korean financial crisis&lt;/title&gt;&lt;secondary-title&gt;Journal of Financial economics&lt;/secondary-title&gt;&lt;/titles&gt;&lt;periodical&gt;&lt;full-title&gt;Journal of Financial Economics&lt;/full-title&gt;&lt;/periodical&gt;&lt;pages&gt;265-313&lt;/pages&gt;&lt;volume&gt;71&lt;/volume&gt;&lt;number&gt;2&lt;/number&gt;&lt;dates&gt;&lt;year&gt;2004&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6" w:tooltip="Baek, 2004 #69" w:history="1">
        <w:r w:rsidR="00710C45">
          <w:rPr>
            <w:rFonts w:ascii="Times New Roman" w:hAnsi="Times New Roman" w:cs="Times New Roman"/>
            <w:noProof/>
            <w:szCs w:val="20"/>
          </w:rPr>
          <w:t>Baek</w:t>
        </w:r>
        <w:r w:rsidR="00CB5C3F">
          <w:rPr>
            <w:rFonts w:ascii="Times New Roman" w:hAnsi="Times New Roman" w:cs="Times New Roman"/>
            <w:noProof/>
            <w:szCs w:val="20"/>
          </w:rPr>
          <w:t xml:space="preserve"> et al.</w:t>
        </w:r>
        <w:r w:rsidR="00710C45">
          <w:rPr>
            <w:rFonts w:ascii="Times New Roman" w:hAnsi="Times New Roman" w:cs="Times New Roman"/>
            <w:noProof/>
            <w:szCs w:val="20"/>
          </w:rPr>
          <w:t xml:space="preserve"> (2004</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&lt;EndNote&gt;&lt;Cite&gt;&lt;Author&gt;Boutin&lt;/Author&gt;&lt;Year&gt;2013&lt;/Year&gt;&lt;RecNum&gt;129&lt;/RecNum&gt;&lt;DisplayText&gt;Boutin, Cestone, Fumagalli, Pica and Serrano-Velarde (2013)&lt;/DisplayText&gt;&lt;record&gt;&lt;rec-number&gt;129&lt;/rec-number&gt;&lt;foreign-keys&gt;&lt;key app="EN" db-id="0w9rezxppe2pzrezf0lpzvz3rp29t2ds5e5t"&gt;129&lt;/key&gt;&lt;/foreign-keys&gt;&lt;ref-type name="Journal Article"&gt;17&lt;/ref-type&gt;&lt;contributors&gt;&lt;authors&gt;&lt;author&gt;Boutin, Xavier&lt;/author&gt;&lt;author&gt;Cestone, Giacinta&lt;/author&gt;&lt;author&gt;Fumagalli, Chiara&lt;/author&gt;&lt;author&gt;Pica, Giovanni&lt;/author&gt;&lt;author&gt;Serrano-Velarde, Nicolas&lt;/author&gt;&lt;/authors&gt;&lt;/contributors&gt;&lt;titles&gt;&lt;title&gt;The deep-pocket effect of internal capital markets&lt;/title&gt;&lt;secondary-title&gt;Journal of Financial Economics&lt;/secondary-title&gt;&lt;/titles&gt;&lt;periodical&gt;&lt;full-title&gt;Journal of Financial Economics&lt;/full-title&gt;&lt;/periodical&gt;&lt;pages&gt;122-145&lt;/pages&gt;&lt;volume&gt;109&lt;/volume&gt;&lt;number&gt;1&lt;/number&gt;&lt;dates&gt;&lt;year&gt;2013&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10" w:tooltip="Boutin, 2013 #129" w:history="1">
        <w:r w:rsidR="00CB5C3F">
          <w:rPr>
            <w:rFonts w:ascii="Times New Roman" w:hAnsi="Times New Roman" w:cs="Times New Roman"/>
            <w:noProof/>
            <w:szCs w:val="20"/>
          </w:rPr>
          <w:t>Boutin et al.</w:t>
        </w:r>
        <w:r w:rsidR="00710C45">
          <w:rPr>
            <w:rFonts w:ascii="Times New Roman" w:hAnsi="Times New Roman" w:cs="Times New Roman"/>
            <w:noProof/>
            <w:szCs w:val="20"/>
          </w:rPr>
          <w:t xml:space="preserve"> (2013</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w:t>
      </w:r>
      <w:r w:rsidR="007852F2">
        <w:rPr>
          <w:rFonts w:ascii="Times New Roman" w:hAnsi="Times New Roman" w:cs="Times New Roman"/>
          <w:szCs w:val="20"/>
        </w:rPr>
        <w:t xml:space="preserve"> </w:t>
      </w:r>
      <w:r w:rsidRPr="00C44EF7">
        <w:rPr>
          <w:rFonts w:ascii="Times New Roman" w:hAnsi="Times New Roman" w:cs="Times New Roman" w:hint="eastAsia"/>
          <w:szCs w:val="20"/>
        </w:rPr>
        <w:t>among others.)</w:t>
      </w:r>
      <w:r w:rsidRPr="00C44EF7">
        <w:rPr>
          <w:rFonts w:ascii="Times New Roman" w:hAnsi="Times New Roman" w:cs="Times New Roman"/>
          <w:szCs w:val="20"/>
        </w:rPr>
        <w:t xml:space="preserve">. </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 xml:space="preserve">The deep pocket effect of internal capital market, however, is not the only source that makes </w:t>
      </w:r>
      <w:r w:rsidRPr="00C44EF7">
        <w:rPr>
          <w:rFonts w:ascii="Times New Roman" w:hAnsi="Times New Roman" w:cs="Times New Roman"/>
          <w:szCs w:val="20"/>
        </w:rPr>
        <w:t>member firms stronger</w:t>
      </w:r>
      <w:r w:rsidRPr="00C44EF7">
        <w:rPr>
          <w:rFonts w:ascii="Times New Roman" w:hAnsi="Times New Roman" w:cs="Times New Roman" w:hint="eastAsia"/>
          <w:szCs w:val="20"/>
        </w:rPr>
        <w:t xml:space="preserve"> in </w:t>
      </w:r>
      <w:r w:rsidRPr="00C44EF7">
        <w:rPr>
          <w:rFonts w:ascii="Times New Roman" w:hAnsi="Times New Roman" w:cs="Times New Roman"/>
          <w:szCs w:val="20"/>
        </w:rPr>
        <w:t xml:space="preserve">terms of </w:t>
      </w:r>
      <w:r w:rsidRPr="00C44EF7">
        <w:rPr>
          <w:rFonts w:ascii="Times New Roman" w:hAnsi="Times New Roman" w:cs="Times New Roman" w:hint="eastAsia"/>
          <w:szCs w:val="20"/>
        </w:rPr>
        <w:t>competitive position</w:t>
      </w:r>
      <w:r w:rsidRPr="00C44EF7">
        <w:rPr>
          <w:rFonts w:ascii="Times New Roman" w:hAnsi="Times New Roman" w:cs="Times New Roman"/>
          <w:szCs w:val="20"/>
        </w:rPr>
        <w:t xml:space="preserve">. In his theoretical work,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&lt;EndNote&gt;&lt;Cite&gt;&lt;Author&gt;Lewellen&lt;/Author&gt;&lt;Year&gt;1971&lt;/Year&gt;&lt;RecNum&gt;76&lt;/RecNum&gt;&lt;DisplayText&gt;Lewellen (1971)&lt;/DisplayText&gt;&lt;record&gt;&lt;rec-number&gt;76&lt;/rec-number&gt;&lt;foreign-keys&gt;&lt;key app="EN" db-id="0w9rezxppe2pzrezf0lpzvz3rp29t2ds5e5t"&gt;76&lt;/key&gt;&lt;/foreign-keys&gt;&lt;ref-type name="Journal Article"&gt;17&lt;/ref-type&gt;&lt;contributors&gt;&lt;authors&gt;&lt;author&gt;Lewellen, Wilbur G&lt;/author&gt;&lt;/authors&gt;&lt;/contributors&gt;&lt;titles&gt;&lt;title&gt;A pure financial rationale for the conglomerate merger&lt;/title&gt;&lt;secondary-title&gt;Journal of Finance&lt;/secondary-title&gt;&lt;/titles&gt;&lt;periodical&gt;&lt;full-title&gt;Journal of Finance&lt;/full-title&gt;&lt;/periodical&gt;&lt;pages&gt;521-537&lt;/pages&gt;&lt;dates&gt;&lt;year&gt;1971&lt;/year&gt;&lt;/dates&gt;&lt;isbn&gt;0022-1082&lt;/isbn&gt;&lt;urls&gt;&lt;/urls&gt;&lt;/record&gt;&lt;/Cite&gt;&lt;/EndNote&gt;</w:instrText>
      </w:r>
      <w:r w:rsidR="00886B05" w:rsidRPr="00C44EF7">
        <w:rPr>
          <w:rFonts w:ascii="Times New Roman" w:hAnsi="Times New Roman" w:cs="Times New Roman"/>
          <w:szCs w:val="20"/>
        </w:rPr>
        <w:fldChar w:fldCharType="separate"/>
      </w:r>
      <w:hyperlink w:anchor="_ENREF_27" w:tooltip="Lewellen, 1971 #76" w:history="1">
        <w:r w:rsidR="00710C45" w:rsidRPr="00C44EF7">
          <w:rPr>
            <w:rFonts w:ascii="Times New Roman" w:hAnsi="Times New Roman" w:cs="Times New Roman"/>
            <w:szCs w:val="20"/>
          </w:rPr>
          <w:t>Lewellen (1971</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show that the co-insurance effect of internal capital market, which stemming from the imperfectly correlated cash flow among member firms, could increase member firms’ debt capacity by reducing their default risk. Since then,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&lt;EndNote&gt;&lt;Cite&gt;&lt;Author&gt;Elton&lt;/Author&gt;&lt;Year&gt;2001&lt;/Year&gt;&lt;RecNum&gt;140&lt;/RecNum&gt;&lt;DisplayText&gt;Elton, Gruber, Agrawal and Mann (2001)&lt;/DisplayText&gt;&lt;record&gt;&lt;rec-number&gt;140&lt;/rec-number&gt;&lt;foreign-keys&gt;&lt;key app="EN" db-id="0w9rezxppe2pzrezf0lpzvz3rp29t2ds5e5t"&gt;140&lt;/key&gt;&lt;/foreign-keys&gt;&lt;ref-type name="Journal Article"&gt;17&lt;/ref-type&gt;&lt;contributors&gt;&lt;authors&gt;&lt;author&gt;Elton, Edwin J&lt;/author&gt;&lt;author&gt;Gruber, Martin J&lt;/author&gt;&lt;author&gt;Agrawal, Deepak&lt;/author&gt;&lt;author&gt;Mann, Christopher&lt;/author&gt;&lt;/authors&gt;&lt;/contributors&gt;&lt;titles&gt;&lt;title&gt;Explaining the rate spread on corporate bonds&lt;/title&gt;&lt;secondary-title&gt;The Journal of Finance&lt;/secondary-title&gt;&lt;/titles&gt;&lt;periodical&gt;&lt;full-title&gt;The Journal of Finance&lt;/full-title&gt;&lt;/periodical&gt;&lt;pages&gt;247-277&lt;/pages&gt;&lt;volume&gt;56&lt;/volume&gt;&lt;number&gt;1&lt;/number&gt;&lt;dates&gt;&lt;year&gt;2001&lt;/year&gt;&lt;/dates&gt;&lt;isbn&gt;1540-6261&lt;/isbn&gt;&lt;urls&gt;&lt;/urls&gt;&lt;/record&gt;&lt;/Cite&gt;&lt;/EndNote&gt;</w:instrText>
      </w:r>
      <w:r w:rsidR="00886B05" w:rsidRPr="00C44EF7">
        <w:rPr>
          <w:rFonts w:ascii="Times New Roman" w:hAnsi="Times New Roman" w:cs="Times New Roman"/>
          <w:szCs w:val="20"/>
        </w:rPr>
        <w:fldChar w:fldCharType="separate"/>
      </w:r>
      <w:hyperlink w:anchor="_ENREF_17" w:tooltip="Elton, 2001 #140" w:history="1">
        <w:r w:rsidR="00CB5C3F">
          <w:rPr>
            <w:rFonts w:ascii="Times New Roman" w:hAnsi="Times New Roman" w:cs="Times New Roman"/>
            <w:noProof/>
            <w:szCs w:val="20"/>
          </w:rPr>
          <w:t>Elton et al.</w:t>
        </w:r>
        <w:r w:rsidR="00710C45">
          <w:rPr>
            <w:rFonts w:ascii="Times New Roman" w:hAnsi="Times New Roman" w:cs="Times New Roman"/>
            <w:noProof/>
            <w:szCs w:val="20"/>
          </w:rPr>
          <w:t xml:space="preserve"> (2001</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xml:space="preserve"> </w:t>
      </w:r>
      <w:r w:rsidRPr="00C44EF7">
        <w:rPr>
          <w:rFonts w:ascii="Times New Roman" w:hAnsi="Times New Roman" w:cs="Times New Roman"/>
          <w:szCs w:val="20"/>
        </w:rPr>
        <w:t xml:space="preserve">and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&lt;EndNote&gt;&lt;Cite&gt;&lt;Author&gt;Almeida&lt;/Author&gt;&lt;Year&gt;2007&lt;/Year&gt;&lt;RecNum&gt;141&lt;/RecNum&gt;&lt;DisplayText&gt;Almeida and Philippon (2007)&lt;/DisplayText&gt;&lt;record&gt;&lt;rec-number&gt;141&lt;/rec-number&gt;&lt;foreign-keys&gt;&lt;key app="EN" db-id="0w9rezxppe2pzrezf0lpzvz3rp29t2ds5e5t"&gt;141&lt;/key&gt;&lt;/foreign-keys&gt;&lt;ref-type name="Journal Article"&gt;17&lt;/ref-type&gt;&lt;contributors&gt;&lt;authors&gt;&lt;author&gt;Almeida, Heitor&lt;/author&gt;&lt;author&gt;Philippon, Thomas&lt;/author&gt;&lt;/authors&gt;&lt;/contributors&gt;&lt;titles&gt;&lt;title&gt;The risk‐adjusted cost of financial distress&lt;/title&gt;&lt;secondary-title&gt;The Journal of Finance&lt;/secondary-title&gt;&lt;/titles&gt;&lt;periodical&gt;&lt;full-title&gt;The Journal of Finance&lt;/full-title&gt;&lt;/periodical&gt;&lt;pages&gt;2557-2586&lt;/pages&gt;&lt;volume&gt;62&lt;/volume&gt;&lt;number&gt;6&lt;/number&gt;&lt;dates&gt;&lt;year&gt;2007&lt;/year&gt;&lt;/dates&gt;&lt;isbn&gt;1540-6261&lt;/isbn&gt;&lt;urls&gt;&lt;/urls&gt;&lt;/record&gt;&lt;/Cite&gt;&lt;/EndNote&gt;</w:instrText>
      </w:r>
      <w:r w:rsidR="00886B05" w:rsidRPr="00C44EF7">
        <w:rPr>
          <w:rFonts w:ascii="Times New Roman" w:hAnsi="Times New Roman" w:cs="Times New Roman"/>
          <w:szCs w:val="20"/>
        </w:rPr>
        <w:fldChar w:fldCharType="separate"/>
      </w:r>
      <w:hyperlink w:anchor="_ENREF_2" w:tooltip="Almeida, 2007 #141" w:history="1">
        <w:r w:rsidR="00710C45" w:rsidRPr="00C44EF7">
          <w:rPr>
            <w:rFonts w:ascii="Times New Roman" w:hAnsi="Times New Roman" w:cs="Times New Roman"/>
            <w:szCs w:val="20"/>
          </w:rPr>
          <w:t>Almeida and Philippon (2007</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among others, show that the co-insurance effect of internal capital market enable</w:t>
      </w:r>
      <w:r w:rsidRPr="00C44EF7">
        <w:rPr>
          <w:rFonts w:ascii="Times New Roman" w:hAnsi="Times New Roman" w:cs="Times New Roman" w:hint="eastAsia"/>
          <w:szCs w:val="20"/>
        </w:rPr>
        <w:t>s</w:t>
      </w:r>
      <w:r w:rsidRPr="00C44EF7">
        <w:rPr>
          <w:rFonts w:ascii="Times New Roman" w:hAnsi="Times New Roman" w:cs="Times New Roman"/>
          <w:szCs w:val="20"/>
        </w:rPr>
        <w:t xml:space="preserve"> member firms to avoid countercyclical deadweight cost of financial distress. Hann et al. (2013)</w:t>
      </w:r>
      <w:r w:rsidRPr="00C44EF7">
        <w:rPr>
          <w:rFonts w:ascii="Times New Roman" w:hAnsi="Times New Roman" w:cs="Times New Roman" w:hint="eastAsia"/>
          <w:szCs w:val="20"/>
        </w:rPr>
        <w:t xml:space="preserve"> also </w:t>
      </w:r>
      <w:r w:rsidRPr="00C44EF7">
        <w:rPr>
          <w:rFonts w:ascii="Times New Roman" w:hAnsi="Times New Roman" w:cs="Times New Roman"/>
          <w:szCs w:val="20"/>
        </w:rPr>
        <w:t xml:space="preserve">empirically show that member firms have significantly lower cost of capital compared to non-member firms. And this is especially true when member firms have less correlated cash flows, and thus high co-insurance effect. </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lastRenderedPageBreak/>
        <w:t xml:space="preserve">Therefore, putting all the above arguments </w:t>
      </w:r>
      <w:r w:rsidRPr="00C44EF7">
        <w:rPr>
          <w:rFonts w:ascii="Times New Roman" w:hAnsi="Times New Roman" w:cs="Times New Roman"/>
          <w:szCs w:val="20"/>
        </w:rPr>
        <w:t>together</w:t>
      </w:r>
      <w:r w:rsidRPr="00C44EF7">
        <w:rPr>
          <w:rFonts w:ascii="Times New Roman" w:hAnsi="Times New Roman" w:cs="Times New Roman" w:hint="eastAsia"/>
          <w:szCs w:val="20"/>
        </w:rPr>
        <w:t xml:space="preserve">, in industries with high level of business group influence </w:t>
      </w:r>
      <w:r w:rsidRPr="00C44EF7">
        <w:rPr>
          <w:rFonts w:ascii="Times New Roman" w:hAnsi="Times New Roman" w:cs="Times New Roman"/>
          <w:szCs w:val="20"/>
        </w:rPr>
        <w:t>through</w:t>
      </w:r>
      <w:r w:rsidRPr="00C44EF7">
        <w:rPr>
          <w:rFonts w:ascii="Times New Roman" w:hAnsi="Times New Roman" w:cs="Times New Roman" w:hint="eastAsia"/>
          <w:szCs w:val="20"/>
        </w:rPr>
        <w:t xml:space="preserve"> both the financing channel and the product market chann</w:t>
      </w:r>
      <w:r w:rsidR="007852F2">
        <w:rPr>
          <w:rFonts w:ascii="Times New Roman" w:hAnsi="Times New Roman" w:cs="Times New Roman" w:hint="eastAsia"/>
          <w:szCs w:val="20"/>
        </w:rPr>
        <w:t>el</w:t>
      </w:r>
      <w:r w:rsidRPr="00C44EF7">
        <w:rPr>
          <w:rFonts w:ascii="Times New Roman" w:hAnsi="Times New Roman" w:cs="Times New Roman" w:hint="eastAsia"/>
          <w:szCs w:val="20"/>
        </w:rPr>
        <w:t>, non-member firms are expected to face higher financial distress risk. On the other hand, b</w:t>
      </w:r>
      <w:r w:rsidRPr="00C44EF7">
        <w:rPr>
          <w:rFonts w:ascii="Times New Roman" w:hAnsi="Times New Roman" w:cs="Times New Roman"/>
          <w:szCs w:val="20"/>
        </w:rPr>
        <w:t xml:space="preserve">usiness group </w:t>
      </w:r>
      <w:r w:rsidRPr="00C44EF7">
        <w:rPr>
          <w:rFonts w:ascii="Times New Roman" w:hAnsi="Times New Roman" w:cs="Times New Roman" w:hint="eastAsia"/>
          <w:szCs w:val="20"/>
        </w:rPr>
        <w:t xml:space="preserve">is expected </w:t>
      </w:r>
      <w:r w:rsidRPr="00C44EF7">
        <w:rPr>
          <w:rFonts w:ascii="Times New Roman" w:hAnsi="Times New Roman" w:cs="Times New Roman"/>
          <w:szCs w:val="20"/>
        </w:rPr>
        <w:t>to have weak</w:t>
      </w:r>
      <w:r w:rsidRPr="00C44EF7">
        <w:rPr>
          <w:rFonts w:ascii="Times New Roman" w:hAnsi="Times New Roman" w:cs="Times New Roman" w:hint="eastAsia"/>
          <w:szCs w:val="20"/>
        </w:rPr>
        <w:t>er</w:t>
      </w:r>
      <w:r w:rsidRPr="00C44EF7">
        <w:rPr>
          <w:rFonts w:ascii="Times New Roman" w:hAnsi="Times New Roman" w:cs="Times New Roman"/>
          <w:szCs w:val="20"/>
        </w:rPr>
        <w:t xml:space="preserve"> </w:t>
      </w:r>
      <w:r w:rsidRPr="00C44EF7">
        <w:rPr>
          <w:rFonts w:ascii="Times New Roman" w:hAnsi="Times New Roman" w:cs="Times New Roman" w:hint="eastAsia"/>
          <w:szCs w:val="20"/>
        </w:rPr>
        <w:t>effects</w:t>
      </w:r>
      <w:r w:rsidRPr="00C44EF7">
        <w:rPr>
          <w:rFonts w:ascii="Times New Roman" w:hAnsi="Times New Roman" w:cs="Times New Roman"/>
          <w:szCs w:val="20"/>
        </w:rPr>
        <w:t xml:space="preserve"> on financial distress risk of member firms because they all have access to their </w:t>
      </w:r>
      <w:r w:rsidRPr="00C44EF7">
        <w:rPr>
          <w:rFonts w:ascii="Times New Roman" w:hAnsi="Times New Roman" w:cs="Times New Roman" w:hint="eastAsia"/>
          <w:szCs w:val="20"/>
        </w:rPr>
        <w:t>own</w:t>
      </w:r>
      <w:r w:rsidRPr="00C44EF7">
        <w:rPr>
          <w:rFonts w:ascii="Times New Roman" w:hAnsi="Times New Roman" w:cs="Times New Roman"/>
          <w:szCs w:val="20"/>
        </w:rPr>
        <w:t xml:space="preserve"> internal capital market</w:t>
      </w:r>
      <w:r w:rsidRPr="00C44EF7">
        <w:rPr>
          <w:rFonts w:ascii="Times New Roman" w:hAnsi="Times New Roman" w:cs="Times New Roman" w:hint="eastAsia"/>
          <w:szCs w:val="20"/>
        </w:rPr>
        <w:t xml:space="preserve"> and thus</w:t>
      </w:r>
      <w:r w:rsidRPr="00C44EF7">
        <w:rPr>
          <w:rFonts w:ascii="Times New Roman" w:hAnsi="Times New Roman" w:cs="Times New Roman"/>
          <w:szCs w:val="20"/>
        </w:rPr>
        <w:t xml:space="preserve"> they are less likely to be affected by the negative impact of other member firms’ internal capital market in the same industry.</w:t>
      </w:r>
      <w:r w:rsidRPr="00C44EF7">
        <w:rPr>
          <w:rFonts w:ascii="Times New Roman" w:hAnsi="Times New Roman" w:cs="Times New Roman" w:hint="eastAsia"/>
          <w:szCs w:val="20"/>
        </w:rPr>
        <w:t xml:space="preserve"> This leads to our first hypothesis</w:t>
      </w:r>
    </w:p>
    <w:p w:rsidR="00C44EF7" w:rsidRPr="00C44EF7" w:rsidRDefault="00C44EF7" w:rsidP="00C44EF7">
      <w:pPr>
        <w:spacing w:line="480" w:lineRule="auto"/>
        <w:contextualSpacing/>
        <w:rPr>
          <w:rFonts w:ascii="Times New Roman" w:hAnsi="Times New Roman" w:cs="Times New Roman"/>
          <w:szCs w:val="20"/>
        </w:rPr>
      </w:pPr>
      <w:r w:rsidRPr="00C44EF7">
        <w:rPr>
          <w:rFonts w:ascii="Times New Roman" w:hAnsi="Times New Roman" w:cs="Times New Roman"/>
          <w:b/>
          <w:szCs w:val="20"/>
        </w:rPr>
        <w:t>H1:</w:t>
      </w:r>
      <w:r w:rsidRPr="00C44EF7">
        <w:rPr>
          <w:rFonts w:ascii="Times New Roman" w:hAnsi="Times New Roman" w:cs="Times New Roman"/>
          <w:szCs w:val="20"/>
        </w:rPr>
        <w:t xml:space="preserve"> High </w:t>
      </w:r>
      <w:r w:rsidRPr="00C44EF7">
        <w:rPr>
          <w:rFonts w:ascii="Times New Roman" w:hAnsi="Times New Roman" w:cs="Times New Roman" w:hint="eastAsia"/>
          <w:szCs w:val="20"/>
        </w:rPr>
        <w:t xml:space="preserve">level of </w:t>
      </w:r>
      <w:r w:rsidRPr="00C44EF7">
        <w:rPr>
          <w:rFonts w:ascii="Times New Roman" w:hAnsi="Times New Roman" w:cs="Times New Roman"/>
          <w:szCs w:val="20"/>
        </w:rPr>
        <w:t xml:space="preserve">industry wide business group </w:t>
      </w:r>
      <w:r w:rsidRPr="00C44EF7">
        <w:rPr>
          <w:rFonts w:ascii="Times New Roman" w:hAnsi="Times New Roman" w:cs="Times New Roman" w:hint="eastAsia"/>
          <w:szCs w:val="20"/>
        </w:rPr>
        <w:t xml:space="preserve">influence </w:t>
      </w:r>
      <w:r w:rsidRPr="00C44EF7">
        <w:rPr>
          <w:rFonts w:ascii="Times New Roman" w:hAnsi="Times New Roman" w:cs="Times New Roman"/>
          <w:szCs w:val="20"/>
        </w:rPr>
        <w:t xml:space="preserve">will increase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for non-member firms in </w:t>
      </w:r>
      <w:r w:rsidRPr="00C44EF7">
        <w:rPr>
          <w:rFonts w:ascii="Times New Roman" w:hAnsi="Times New Roman" w:cs="Times New Roman" w:hint="eastAsia"/>
          <w:szCs w:val="20"/>
        </w:rPr>
        <w:t>the same</w:t>
      </w:r>
      <w:r w:rsidRPr="00C44EF7">
        <w:rPr>
          <w:rFonts w:ascii="Times New Roman" w:hAnsi="Times New Roman" w:cs="Times New Roman"/>
          <w:szCs w:val="20"/>
        </w:rPr>
        <w:t xml:space="preserve"> industry; On the other hand, for member firms, their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is </w:t>
      </w:r>
      <w:r w:rsidRPr="00C44EF7">
        <w:rPr>
          <w:rFonts w:ascii="Times New Roman" w:hAnsi="Times New Roman" w:cs="Times New Roman" w:hint="eastAsia"/>
          <w:szCs w:val="20"/>
        </w:rPr>
        <w:t>insensitive to business group influence.</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szCs w:val="20"/>
        </w:rPr>
        <w:t xml:space="preserve">Then a more important question to ask, if the above hypothesis is supported by actual data, is </w:t>
      </w:r>
      <w:r w:rsidRPr="00C44EF7">
        <w:rPr>
          <w:rFonts w:ascii="Times New Roman" w:hAnsi="Times New Roman" w:cs="Times New Roman" w:hint="eastAsia"/>
          <w:szCs w:val="20"/>
        </w:rPr>
        <w:t>whether</w:t>
      </w:r>
      <w:r w:rsidRPr="00C44EF7">
        <w:rPr>
          <w:rFonts w:ascii="Times New Roman" w:hAnsi="Times New Roman" w:cs="Times New Roman"/>
          <w:szCs w:val="20"/>
        </w:rPr>
        <w:t xml:space="preserve"> business group’</w:t>
      </w:r>
      <w:r w:rsidRPr="00C44EF7">
        <w:rPr>
          <w:rFonts w:ascii="Times New Roman" w:hAnsi="Times New Roman" w:cs="Times New Roman" w:hint="eastAsia"/>
          <w:szCs w:val="20"/>
        </w:rPr>
        <w:t xml:space="preserve">s influence </w:t>
      </w:r>
      <w:r w:rsidRPr="00C44EF7">
        <w:rPr>
          <w:rFonts w:ascii="Times New Roman" w:hAnsi="Times New Roman" w:cs="Times New Roman"/>
          <w:szCs w:val="20"/>
        </w:rPr>
        <w:t xml:space="preserve">on </w:t>
      </w:r>
      <w:r w:rsidRPr="00C44EF7">
        <w:rPr>
          <w:rFonts w:ascii="Times New Roman" w:hAnsi="Times New Roman" w:cs="Times New Roman" w:hint="eastAsia"/>
          <w:szCs w:val="20"/>
        </w:rPr>
        <w:t xml:space="preserve">financial distress </w:t>
      </w:r>
      <w:r w:rsidRPr="00C44EF7">
        <w:rPr>
          <w:rFonts w:ascii="Times New Roman" w:hAnsi="Times New Roman" w:cs="Times New Roman"/>
          <w:szCs w:val="20"/>
        </w:rPr>
        <w:t>risk is significant for the entire industry</w:t>
      </w:r>
      <w:r w:rsidRPr="00C44EF7">
        <w:rPr>
          <w:rFonts w:ascii="Times New Roman" w:hAnsi="Times New Roman" w:cs="Times New Roman" w:hint="eastAsia"/>
          <w:szCs w:val="20"/>
        </w:rPr>
        <w:t xml:space="preserve"> (the equilibrium effect of business group influence)</w:t>
      </w:r>
      <w:r w:rsidRPr="00C44EF7">
        <w:rPr>
          <w:rFonts w:ascii="Times New Roman" w:hAnsi="Times New Roman" w:cs="Times New Roman"/>
          <w:szCs w:val="20"/>
        </w:rPr>
        <w:t>. That is:</w:t>
      </w:r>
    </w:p>
    <w:p w:rsidR="00C44EF7" w:rsidRPr="00C44EF7" w:rsidRDefault="00C44EF7" w:rsidP="00C44EF7">
      <w:pPr>
        <w:spacing w:line="480" w:lineRule="auto"/>
        <w:contextualSpacing/>
        <w:rPr>
          <w:rFonts w:ascii="Times New Roman" w:hAnsi="Times New Roman" w:cs="Times New Roman"/>
          <w:szCs w:val="20"/>
        </w:rPr>
      </w:pPr>
      <w:r w:rsidRPr="00C44EF7">
        <w:rPr>
          <w:rFonts w:ascii="Times New Roman" w:hAnsi="Times New Roman" w:cs="Times New Roman"/>
          <w:b/>
          <w:szCs w:val="20"/>
        </w:rPr>
        <w:t>H2:</w:t>
      </w:r>
      <w:r w:rsidRPr="00C44EF7">
        <w:rPr>
          <w:rFonts w:ascii="Times New Roman" w:hAnsi="Times New Roman" w:cs="Times New Roman"/>
          <w:szCs w:val="20"/>
        </w:rPr>
        <w:t xml:space="preserve"> High </w:t>
      </w:r>
      <w:r w:rsidRPr="00C44EF7">
        <w:rPr>
          <w:rFonts w:ascii="Times New Roman" w:hAnsi="Times New Roman" w:cs="Times New Roman" w:hint="eastAsia"/>
          <w:szCs w:val="20"/>
        </w:rPr>
        <w:t xml:space="preserve">level of </w:t>
      </w:r>
      <w:r w:rsidRPr="00C44EF7">
        <w:rPr>
          <w:rFonts w:ascii="Times New Roman" w:hAnsi="Times New Roman" w:cs="Times New Roman"/>
          <w:szCs w:val="20"/>
        </w:rPr>
        <w:t xml:space="preserve">industry wide business group </w:t>
      </w:r>
      <w:r w:rsidRPr="00C44EF7">
        <w:rPr>
          <w:rFonts w:ascii="Times New Roman" w:hAnsi="Times New Roman" w:cs="Times New Roman" w:hint="eastAsia"/>
          <w:szCs w:val="20"/>
        </w:rPr>
        <w:t>influence</w:t>
      </w:r>
      <w:r w:rsidRPr="00C44EF7">
        <w:rPr>
          <w:rFonts w:ascii="Times New Roman" w:hAnsi="Times New Roman" w:cs="Times New Roman"/>
          <w:szCs w:val="20"/>
        </w:rPr>
        <w:t xml:space="preserve"> will increase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for the entire industry, consisting of both member firms and non-member firms.</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szCs w:val="20"/>
        </w:rPr>
        <w:t xml:space="preserve">Furthermore, financial constraints, especially for non-member firms, serve as a necessary condition for the negative externality of business group to take effect. For example, as argued by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&lt;EndNote&gt;&lt;Cite&gt;&lt;Author&gt;Almeida&lt;/Author&gt;&lt;Year&gt;2006&lt;/Year&gt;&lt;RecNum&gt;53&lt;/RecNum&gt;&lt;DisplayText&gt;Almeida and Wolfenzon (2006)&lt;/DisplayText&gt;&lt;record&gt;&lt;rec-number&gt;53&lt;/rec-number&gt;&lt;foreign-keys&gt;&lt;key app="EN" db-id="0w9rezxppe2pzrezf0lpzvz3rp29t2ds5e5t"&gt;53&lt;/key&gt;&lt;/foreign-keys&gt;&lt;ref-type name="Journal Article"&gt;17&lt;/ref-type&gt;&lt;contributors&gt;&lt;authors&gt;&lt;author&gt;Almeida, Heitor&lt;/author&gt;&lt;author&gt;Wolfenzon, Daniel&lt;/author&gt;&lt;/authors&gt;&lt;/contributors&gt;&lt;titles&gt;&lt;title&gt;Should business groups be dismantled? The equilibrium costs of efficient internal capital markets&lt;/title&gt;&lt;secondary-title&gt;Journal of Financial Economics&lt;/secondary-title&gt;&lt;/titles&gt;&lt;periodical&gt;&lt;full-title&gt;Journal of Financial Economics&lt;/full-title&gt;&lt;/periodical&gt;&lt;pages&gt;99-144&lt;/pages&gt;&lt;volume&gt;79&lt;/volume&gt;&lt;number&gt;1&lt;/number&gt;&lt;dates&gt;&lt;year&gt;2006&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3" w:tooltip="Almeida, 2006 #53" w:history="1">
        <w:r w:rsidR="00710C45" w:rsidRPr="00C44EF7">
          <w:rPr>
            <w:rFonts w:ascii="Times New Roman" w:hAnsi="Times New Roman" w:cs="Times New Roman"/>
            <w:szCs w:val="20"/>
          </w:rPr>
          <w:t>Almeida and Wolfenzon (2006</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w:t>
      </w:r>
      <w:r w:rsidRPr="00C44EF7">
        <w:rPr>
          <w:rFonts w:ascii="Times New Roman" w:hAnsi="Times New Roman" w:cs="Times New Roman" w:hint="eastAsia"/>
          <w:szCs w:val="20"/>
        </w:rPr>
        <w:t>the existence of business group</w:t>
      </w:r>
      <w:r w:rsidRPr="00C44EF7">
        <w:rPr>
          <w:rFonts w:ascii="Times New Roman" w:hAnsi="Times New Roman" w:cs="Times New Roman"/>
          <w:szCs w:val="20"/>
        </w:rPr>
        <w:t>’</w:t>
      </w:r>
      <w:r w:rsidRPr="00C44EF7">
        <w:rPr>
          <w:rFonts w:ascii="Times New Roman" w:hAnsi="Times New Roman" w:cs="Times New Roman" w:hint="eastAsia"/>
          <w:szCs w:val="20"/>
        </w:rPr>
        <w:t>s internal capital market</w:t>
      </w:r>
      <w:r w:rsidRPr="00C44EF7">
        <w:rPr>
          <w:rFonts w:ascii="Times New Roman" w:hAnsi="Times New Roman" w:cs="Times New Roman"/>
          <w:szCs w:val="20"/>
        </w:rPr>
        <w:t xml:space="preserve"> negatively affects the capital supply of the external capital market, and thus makes non-member firms more financially constrain</w:t>
      </w:r>
      <w:r w:rsidRPr="00C44EF7">
        <w:rPr>
          <w:rFonts w:ascii="Times New Roman" w:hAnsi="Times New Roman" w:cs="Times New Roman" w:hint="eastAsia"/>
          <w:szCs w:val="20"/>
        </w:rPr>
        <w:t>ed</w:t>
      </w:r>
      <w:r w:rsidRPr="00C44EF7">
        <w:rPr>
          <w:rFonts w:ascii="Times New Roman" w:hAnsi="Times New Roman" w:cs="Times New Roman"/>
          <w:szCs w:val="20"/>
        </w:rPr>
        <w:t xml:space="preserve">. As a result, their </w:t>
      </w:r>
      <w:r w:rsidRPr="00C44EF7">
        <w:rPr>
          <w:rFonts w:ascii="Times New Roman" w:hAnsi="Times New Roman" w:cs="Times New Roman" w:hint="eastAsia"/>
          <w:szCs w:val="20"/>
        </w:rPr>
        <w:t>risk</w:t>
      </w:r>
      <w:r w:rsidRPr="00C44EF7">
        <w:rPr>
          <w:rFonts w:ascii="Times New Roman" w:hAnsi="Times New Roman" w:cs="Times New Roman"/>
          <w:szCs w:val="20"/>
        </w:rPr>
        <w:t xml:space="preserve"> of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increase</w:t>
      </w:r>
      <w:r w:rsidRPr="00C44EF7">
        <w:rPr>
          <w:rFonts w:ascii="Times New Roman" w:hAnsi="Times New Roman" w:cs="Times New Roman" w:hint="eastAsia"/>
          <w:szCs w:val="20"/>
        </w:rPr>
        <w:t>s</w:t>
      </w:r>
      <w:r w:rsidRPr="00C44EF7">
        <w:rPr>
          <w:rFonts w:ascii="Times New Roman" w:hAnsi="Times New Roman" w:cs="Times New Roman"/>
          <w:szCs w:val="20"/>
        </w:rPr>
        <w:t>. Also, the deep pocket of business group increases the competitive strength of its member firms by alleviat</w:t>
      </w:r>
      <w:r w:rsidRPr="00C44EF7">
        <w:rPr>
          <w:rFonts w:ascii="Times New Roman" w:hAnsi="Times New Roman" w:cs="Times New Roman" w:hint="eastAsia"/>
          <w:szCs w:val="20"/>
        </w:rPr>
        <w:t>ing</w:t>
      </w:r>
      <w:r w:rsidRPr="00C44EF7">
        <w:rPr>
          <w:rFonts w:ascii="Times New Roman" w:hAnsi="Times New Roman" w:cs="Times New Roman"/>
          <w:szCs w:val="20"/>
        </w:rPr>
        <w:t xml:space="preserve"> their financial constraint compared to standalone firms when the cost of external financing is high. Moreover, as the </w:t>
      </w:r>
      <w:r w:rsidRPr="00C44EF7">
        <w:rPr>
          <w:rFonts w:ascii="Times New Roman" w:hAnsi="Times New Roman" w:cs="Times New Roman" w:hint="eastAsia"/>
          <w:szCs w:val="20"/>
        </w:rPr>
        <w:t xml:space="preserve">product market </w:t>
      </w:r>
      <w:r w:rsidRPr="00C44EF7">
        <w:rPr>
          <w:rFonts w:ascii="Times New Roman" w:hAnsi="Times New Roman" w:cs="Times New Roman"/>
          <w:szCs w:val="20"/>
        </w:rPr>
        <w:t>predation theory argues, the financially strong rival only prey when the incumbent firm is financially constrain</w:t>
      </w:r>
      <w:r w:rsidRPr="00C44EF7">
        <w:rPr>
          <w:rFonts w:ascii="Times New Roman" w:hAnsi="Times New Roman" w:cs="Times New Roman" w:hint="eastAsia"/>
          <w:szCs w:val="20"/>
        </w:rPr>
        <w:t>ed</w:t>
      </w:r>
      <w:r w:rsidRPr="00C44EF7">
        <w:rPr>
          <w:rFonts w:ascii="Times New Roman" w:hAnsi="Times New Roman" w:cs="Times New Roman"/>
          <w:szCs w:val="20"/>
        </w:rPr>
        <w:t xml:space="preserve">. Therefore, if our argument above is true, then we should observe that the effect of industry wide business group </w:t>
      </w:r>
      <w:r w:rsidRPr="00C44EF7">
        <w:rPr>
          <w:rFonts w:ascii="Times New Roman" w:hAnsi="Times New Roman" w:cs="Times New Roman" w:hint="eastAsia"/>
          <w:szCs w:val="20"/>
        </w:rPr>
        <w:t>influence</w:t>
      </w:r>
      <w:r w:rsidRPr="00C44EF7">
        <w:rPr>
          <w:rFonts w:ascii="Times New Roman" w:hAnsi="Times New Roman" w:cs="Times New Roman"/>
          <w:szCs w:val="20"/>
        </w:rPr>
        <w:t xml:space="preserve"> is more predominant for more financially constrain</w:t>
      </w:r>
      <w:r w:rsidRPr="00C44EF7">
        <w:rPr>
          <w:rFonts w:ascii="Times New Roman" w:hAnsi="Times New Roman" w:cs="Times New Roman" w:hint="eastAsia"/>
          <w:szCs w:val="20"/>
        </w:rPr>
        <w:t>ed</w:t>
      </w:r>
      <w:r w:rsidRPr="00C44EF7">
        <w:rPr>
          <w:rFonts w:ascii="Times New Roman" w:hAnsi="Times New Roman" w:cs="Times New Roman"/>
          <w:szCs w:val="20"/>
        </w:rPr>
        <w:t xml:space="preserve"> non-member firms. </w:t>
      </w:r>
      <w:r w:rsidRPr="00C44EF7">
        <w:rPr>
          <w:rFonts w:ascii="Times New Roman" w:hAnsi="Times New Roman" w:cs="Times New Roman" w:hint="eastAsia"/>
          <w:szCs w:val="20"/>
        </w:rPr>
        <w:t>To investigate the issue, we perform t</w:t>
      </w:r>
      <w:r w:rsidRPr="00C44EF7">
        <w:rPr>
          <w:rFonts w:ascii="Times New Roman" w:hAnsi="Times New Roman" w:cs="Times New Roman"/>
          <w:szCs w:val="20"/>
        </w:rPr>
        <w:t>w</w:t>
      </w:r>
      <w:r w:rsidRPr="00C44EF7">
        <w:rPr>
          <w:rFonts w:ascii="Times New Roman" w:hAnsi="Times New Roman" w:cs="Times New Roman" w:hint="eastAsia"/>
          <w:szCs w:val="20"/>
        </w:rPr>
        <w:t>o sets of test</w:t>
      </w:r>
      <w:r w:rsidRPr="00C44EF7">
        <w:rPr>
          <w:rFonts w:ascii="Times New Roman" w:hAnsi="Times New Roman" w:cs="Times New Roman"/>
          <w:szCs w:val="20"/>
        </w:rPr>
        <w:t>s</w:t>
      </w:r>
      <w:r w:rsidRPr="00C44EF7">
        <w:rPr>
          <w:rFonts w:ascii="Times New Roman" w:hAnsi="Times New Roman" w:cs="Times New Roman" w:hint="eastAsia"/>
          <w:szCs w:val="20"/>
        </w:rPr>
        <w:t xml:space="preserve">. First, we divide our non-member firm sample into two </w:t>
      </w:r>
      <w:r w:rsidRPr="00C44EF7">
        <w:rPr>
          <w:rFonts w:ascii="Times New Roman" w:hAnsi="Times New Roman" w:cs="Times New Roman"/>
          <w:szCs w:val="20"/>
        </w:rPr>
        <w:t xml:space="preserve">subsamples </w:t>
      </w:r>
      <w:r w:rsidRPr="00C44EF7">
        <w:rPr>
          <w:rFonts w:ascii="Times New Roman" w:hAnsi="Times New Roman" w:cs="Times New Roman" w:hint="eastAsia"/>
          <w:szCs w:val="20"/>
        </w:rPr>
        <w:t>based on</w:t>
      </w:r>
      <w:r w:rsidRPr="00C44EF7">
        <w:rPr>
          <w:rFonts w:ascii="Times New Roman" w:hAnsi="Times New Roman" w:cs="Times New Roman"/>
          <w:szCs w:val="20"/>
        </w:rPr>
        <w:t xml:space="preserve"> their level of financial constraint</w:t>
      </w:r>
      <w:r w:rsidRPr="00C44EF7">
        <w:rPr>
          <w:rFonts w:ascii="Times New Roman" w:hAnsi="Times New Roman" w:cs="Times New Roman" w:hint="eastAsia"/>
          <w:szCs w:val="20"/>
        </w:rPr>
        <w:t xml:space="preserve"> and compare the effect of business group influence between the two subsamples: firms with high financial constraint and firms with low financial constraint. That is, we have the following hypothesis:</w:t>
      </w:r>
    </w:p>
    <w:p w:rsidR="00C44EF7" w:rsidRPr="00C44EF7" w:rsidRDefault="00C44EF7" w:rsidP="00C44EF7">
      <w:pPr>
        <w:spacing w:line="480" w:lineRule="auto"/>
        <w:contextualSpacing/>
        <w:rPr>
          <w:rFonts w:ascii="Times New Roman" w:hAnsi="Times New Roman" w:cs="Times New Roman"/>
          <w:szCs w:val="20"/>
        </w:rPr>
      </w:pPr>
      <w:r w:rsidRPr="00C44EF7">
        <w:rPr>
          <w:rFonts w:ascii="Times New Roman" w:hAnsi="Times New Roman" w:cs="Times New Roman"/>
          <w:b/>
          <w:szCs w:val="20"/>
        </w:rPr>
        <w:t>H3:</w:t>
      </w:r>
      <w:r w:rsidRPr="00C44EF7">
        <w:rPr>
          <w:rFonts w:ascii="Times New Roman" w:hAnsi="Times New Roman" w:cs="Times New Roman"/>
          <w:szCs w:val="20"/>
        </w:rPr>
        <w:t xml:space="preserve"> The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of non-member firms with </w:t>
      </w:r>
      <w:r w:rsidRPr="00C44EF7">
        <w:rPr>
          <w:rFonts w:ascii="Times New Roman" w:hAnsi="Times New Roman" w:cs="Times New Roman" w:hint="eastAsia"/>
          <w:szCs w:val="20"/>
        </w:rPr>
        <w:t>higher</w:t>
      </w:r>
      <w:r w:rsidRPr="00C44EF7">
        <w:rPr>
          <w:rFonts w:ascii="Times New Roman" w:hAnsi="Times New Roman" w:cs="Times New Roman"/>
          <w:szCs w:val="20"/>
        </w:rPr>
        <w:t xml:space="preserve"> level of </w:t>
      </w:r>
      <w:r w:rsidRPr="00C44EF7">
        <w:rPr>
          <w:rFonts w:ascii="Times New Roman" w:hAnsi="Times New Roman" w:cs="Times New Roman" w:hint="eastAsia"/>
          <w:szCs w:val="20"/>
        </w:rPr>
        <w:t xml:space="preserve">financial </w:t>
      </w:r>
      <w:r w:rsidRPr="00C44EF7">
        <w:rPr>
          <w:rFonts w:ascii="Times New Roman" w:hAnsi="Times New Roman" w:cs="Times New Roman"/>
          <w:szCs w:val="20"/>
        </w:rPr>
        <w:t xml:space="preserve">constraint is affected </w:t>
      </w:r>
      <w:r w:rsidRPr="00C44EF7">
        <w:rPr>
          <w:rFonts w:ascii="Times New Roman" w:hAnsi="Times New Roman" w:cs="Times New Roman" w:hint="eastAsia"/>
          <w:szCs w:val="20"/>
        </w:rPr>
        <w:t xml:space="preserve">more </w:t>
      </w:r>
      <w:r w:rsidRPr="00C44EF7">
        <w:rPr>
          <w:rFonts w:ascii="Times New Roman" w:hAnsi="Times New Roman" w:cs="Times New Roman"/>
          <w:szCs w:val="20"/>
        </w:rPr>
        <w:t xml:space="preserve">by </w:t>
      </w:r>
      <w:r w:rsidRPr="00C44EF7">
        <w:rPr>
          <w:rFonts w:ascii="Times New Roman" w:hAnsi="Times New Roman" w:cs="Times New Roman" w:hint="eastAsia"/>
          <w:szCs w:val="20"/>
        </w:rPr>
        <w:t>industry wide business group influence level</w:t>
      </w:r>
      <w:r w:rsidRPr="00C44EF7">
        <w:rPr>
          <w:rFonts w:ascii="Times New Roman" w:hAnsi="Times New Roman" w:cs="Times New Roman"/>
          <w:szCs w:val="20"/>
        </w:rPr>
        <w:t>.</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lastRenderedPageBreak/>
        <w:t>F</w:t>
      </w:r>
      <w:r w:rsidRPr="00C44EF7">
        <w:rPr>
          <w:rFonts w:ascii="Times New Roman" w:hAnsi="Times New Roman" w:cs="Times New Roman"/>
          <w:szCs w:val="20"/>
        </w:rPr>
        <w:t xml:space="preserve">ollowing existing literature such as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&lt;EndNote&gt;&lt;Cite&gt;&lt;Author&gt;Braun&lt;/Author&gt;&lt;Year&gt;2005&lt;/Year&gt;&lt;RecNum&gt;124&lt;/RecNum&gt;&lt;DisplayText&gt;Braun and Larrain (2005)&lt;/DisplayText&gt;&lt;record&gt;&lt;rec-number&gt;124&lt;/rec-number&gt;&lt;foreign-keys&gt;&lt;key app="EN" db-id="0w9rezxppe2pzrezf0lpzvz3rp29t2ds5e5t"&gt;124&lt;/key&gt;&lt;/foreign-keys&gt;&lt;ref-type name="Journal Article"&gt;17&lt;/ref-type&gt;&lt;contributors&gt;&lt;authors&gt;&lt;author&gt;Braun, Matias&lt;/author&gt;&lt;author&gt;Larrain, Borja&lt;/author&gt;&lt;/authors&gt;&lt;/contributors&gt;&lt;titles&gt;&lt;title&gt;Finance and the business cycle: international, inter‐industry evidence&lt;/title&gt;&lt;secondary-title&gt;The Journal of Finance&lt;/secondary-title&gt;&lt;/titles&gt;&lt;periodical&gt;&lt;full-title&gt;The Journal of Finance&lt;/full-title&gt;&lt;/periodical&gt;&lt;pages&gt;1097-1128&lt;/pages&gt;&lt;volume&gt;60&lt;/volume&gt;&lt;number&gt;3&lt;/number&gt;&lt;dates&gt;&lt;year&gt;2005&lt;/year&gt;&lt;/dates&gt;&lt;isbn&gt;1540-6261&lt;/isbn&gt;&lt;urls&gt;&lt;/urls&gt;&lt;/record&gt;&lt;/Cite&gt;&lt;/EndNote&gt;</w:instrText>
      </w:r>
      <w:r w:rsidR="00886B05" w:rsidRPr="00C44EF7">
        <w:rPr>
          <w:rFonts w:ascii="Times New Roman" w:hAnsi="Times New Roman" w:cs="Times New Roman"/>
          <w:szCs w:val="20"/>
        </w:rPr>
        <w:fldChar w:fldCharType="separate"/>
      </w:r>
      <w:hyperlink w:anchor="_ENREF_11" w:tooltip="Braun, 2005 #124" w:history="1">
        <w:r w:rsidR="00710C45" w:rsidRPr="00C44EF7">
          <w:rPr>
            <w:rFonts w:ascii="Times New Roman" w:hAnsi="Times New Roman" w:cs="Times New Roman"/>
            <w:szCs w:val="20"/>
          </w:rPr>
          <w:t>Braun and Larrain (2005</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&lt;EndNote&gt;&lt;Cite&gt;&lt;Author&gt;Almeida&lt;/Author&gt;&lt;Year&gt;2007&lt;/Year&gt;&lt;RecNum&gt;125&lt;/RecNum&gt;&lt;DisplayText&gt;Almeida and Campello (2007)&lt;/DisplayText&gt;&lt;record&gt;&lt;rec-number&gt;125&lt;/rec-number&gt;&lt;foreign-keys&gt;&lt;key app="EN" db-id="0w9rezxppe2pzrezf0lpzvz3rp29t2ds5e5t"&gt;125&lt;/key&gt;&lt;/foreign-keys&gt;&lt;ref-type name="Journal Article"&gt;17&lt;/ref-type&gt;&lt;contributors&gt;&lt;authors&gt;&lt;author&gt;Almeida, Heitor&lt;/author&gt;&lt;author&gt;Campello, Murillo&lt;/author&gt;&lt;/authors&gt;&lt;/contributors&gt;&lt;titles&gt;&lt;title&gt;Financial constraints, asset tangibility, and corporate investment&lt;/title&gt;&lt;secondary-title&gt;Review of Financial Studies&lt;/secondary-title&gt;&lt;/titles&gt;&lt;periodical&gt;&lt;full-title&gt;Review of Financial studies&lt;/full-title&gt;&lt;/periodical&gt;&lt;pages&gt;1429-1460&lt;/pages&gt;&lt;volume&gt;20&lt;/volume&gt;&lt;number&gt;5&lt;/number&gt;&lt;dates&gt;&lt;year&gt;2007&lt;/year&gt;&lt;/dates&gt;&lt;isbn&gt;0893-9454&lt;/isbn&gt;&lt;urls&gt;&lt;/urls&gt;&lt;/record&gt;&lt;/Cite&gt;&lt;/EndNote&gt;</w:instrText>
      </w:r>
      <w:r w:rsidR="00886B05" w:rsidRPr="00C44EF7">
        <w:rPr>
          <w:rFonts w:ascii="Times New Roman" w:hAnsi="Times New Roman" w:cs="Times New Roman"/>
          <w:szCs w:val="20"/>
        </w:rPr>
        <w:fldChar w:fldCharType="separate"/>
      </w:r>
      <w:hyperlink w:anchor="_ENREF_1" w:tooltip="Almeida, 2007 #125" w:history="1">
        <w:r w:rsidR="00710C45" w:rsidRPr="00C44EF7">
          <w:rPr>
            <w:rFonts w:ascii="Times New Roman" w:hAnsi="Times New Roman" w:cs="Times New Roman"/>
            <w:szCs w:val="20"/>
          </w:rPr>
          <w:t>Almeida and Campello (2007</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szCs w:val="20"/>
        </w:rPr>
        <w:t xml:space="preserve"> and </w:t>
      </w:r>
      <w:r w:rsidR="00886B05" w:rsidRPr="00C44EF7">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&lt;EndNote&gt;&lt;Cite&gt;&lt;Author&gt;Boutin&lt;/Author&gt;&lt;Year&gt;2013&lt;/Year&gt;&lt;RecNum&gt;129&lt;/RecNum&gt;&lt;DisplayText&gt;Boutin, Cestone, Fumagalli, Pica and Serrano-Velarde (2013)&lt;/DisplayText&gt;&lt;record&gt;&lt;rec-number&gt;129&lt;/rec-number&gt;&lt;foreign-keys&gt;&lt;key app="EN" db-id="0w9rezxppe2pzrezf0lpzvz3rp29t2ds5e5t"&gt;129&lt;/key&gt;&lt;/foreign-keys&gt;&lt;ref-type name="Journal Article"&gt;17&lt;/ref-type&gt;&lt;contributors&gt;&lt;authors&gt;&lt;author&gt;Boutin, Xavier&lt;/author&gt;&lt;author&gt;Cestone, Giacinta&lt;/author&gt;&lt;author&gt;Fumagalli, Chiara&lt;/author&gt;&lt;author&gt;Pica, Giovanni&lt;/author&gt;&lt;author&gt;Serrano-Velarde, Nicolas&lt;/author&gt;&lt;/authors&gt;&lt;/contributors&gt;&lt;titles&gt;&lt;title&gt;The deep-pocket effect of internal capital markets&lt;/title&gt;&lt;secondary-title&gt;Journal of Financial Economics&lt;/secondary-title&gt;&lt;/titles&gt;&lt;periodical&gt;&lt;full-title&gt;Journal of Financial Economics&lt;/full-title&gt;&lt;/periodical&gt;&lt;pages&gt;122-145&lt;/pages&gt;&lt;volume&gt;109&lt;/volume&gt;&lt;number&gt;1&lt;/number&gt;&lt;dates&gt;&lt;year&gt;2013&lt;/year&gt;&lt;/dates&gt;&lt;isbn&gt;0304-405X&lt;/isbn&gt;&lt;urls&gt;&lt;/urls&gt;&lt;/record&gt;&lt;/Cite&gt;&lt;/EndNote&gt;</w:instrText>
      </w:r>
      <w:r w:rsidR="00886B05" w:rsidRPr="00C44EF7">
        <w:rPr>
          <w:rFonts w:ascii="Times New Roman" w:hAnsi="Times New Roman" w:cs="Times New Roman"/>
          <w:szCs w:val="20"/>
        </w:rPr>
        <w:fldChar w:fldCharType="separate"/>
      </w:r>
      <w:hyperlink w:anchor="_ENREF_10" w:tooltip="Boutin, 2013 #129" w:history="1">
        <w:r w:rsidR="00CB5C3F">
          <w:rPr>
            <w:rFonts w:ascii="Times New Roman" w:hAnsi="Times New Roman" w:cs="Times New Roman"/>
            <w:noProof/>
            <w:szCs w:val="20"/>
          </w:rPr>
          <w:t>Boutin et al.</w:t>
        </w:r>
        <w:r w:rsidR="00710C45">
          <w:rPr>
            <w:rFonts w:ascii="Times New Roman" w:hAnsi="Times New Roman" w:cs="Times New Roman"/>
            <w:noProof/>
            <w:szCs w:val="20"/>
          </w:rPr>
          <w:t xml:space="preserve"> (2013</w:t>
        </w:r>
      </w:hyperlink>
      <w:r w:rsidR="00710C45">
        <w:rPr>
          <w:rFonts w:ascii="Times New Roman" w:hAnsi="Times New Roman" w:cs="Times New Roman"/>
          <w:noProof/>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 we measure financial constraint using</w:t>
      </w:r>
      <w:r w:rsidRPr="00C44EF7">
        <w:rPr>
          <w:rFonts w:ascii="Times New Roman" w:hAnsi="Times New Roman" w:cs="Times New Roman"/>
          <w:szCs w:val="20"/>
        </w:rPr>
        <w:t xml:space="preserve"> asset tangibility as </w:t>
      </w:r>
      <w:r w:rsidRPr="00C44EF7">
        <w:rPr>
          <w:rFonts w:ascii="Times New Roman" w:hAnsi="Times New Roman" w:cs="Times New Roman" w:hint="eastAsia"/>
          <w:szCs w:val="20"/>
        </w:rPr>
        <w:t>our</w:t>
      </w:r>
      <w:r w:rsidRPr="00C44EF7">
        <w:rPr>
          <w:rFonts w:ascii="Times New Roman" w:hAnsi="Times New Roman" w:cs="Times New Roman"/>
          <w:szCs w:val="20"/>
        </w:rPr>
        <w:t xml:space="preserve"> proxy. The logic follows that more tangible asset increase</w:t>
      </w:r>
      <w:r w:rsidRPr="00C44EF7">
        <w:rPr>
          <w:rFonts w:ascii="Times New Roman" w:hAnsi="Times New Roman" w:cs="Times New Roman" w:hint="eastAsia"/>
          <w:szCs w:val="20"/>
        </w:rPr>
        <w:t>s</w:t>
      </w:r>
      <w:r w:rsidRPr="00C44EF7">
        <w:rPr>
          <w:rFonts w:ascii="Times New Roman" w:hAnsi="Times New Roman" w:cs="Times New Roman"/>
          <w:szCs w:val="20"/>
        </w:rPr>
        <w:t xml:space="preserve"> the </w:t>
      </w:r>
      <w:proofErr w:type="spellStart"/>
      <w:r w:rsidRPr="00C44EF7">
        <w:rPr>
          <w:rFonts w:ascii="Times New Roman" w:hAnsi="Times New Roman" w:cs="Times New Roman"/>
          <w:szCs w:val="20"/>
        </w:rPr>
        <w:t>pledgeable</w:t>
      </w:r>
      <w:proofErr w:type="spellEnd"/>
      <w:r w:rsidRPr="00C44EF7">
        <w:rPr>
          <w:rFonts w:ascii="Times New Roman" w:hAnsi="Times New Roman" w:cs="Times New Roman"/>
          <w:szCs w:val="20"/>
        </w:rPr>
        <w:t xml:space="preserve"> value of the firm to its creditors in face of corporate failure.</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In addition to splitting the non-member firm sample based on firm financial constraint level, we also examine whether unpredicted negative shocks in the financial sector amplify the effect of business group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w:t>
      </w:r>
      <w:r w:rsidRPr="00C44EF7">
        <w:rPr>
          <w:rFonts w:ascii="Times New Roman" w:hAnsi="Times New Roman" w:cs="Times New Roman"/>
          <w:szCs w:val="20"/>
        </w:rPr>
        <w:t xml:space="preserve">A tightened credit in the financial sector </w:t>
      </w:r>
      <w:r w:rsidRPr="00C44EF7">
        <w:rPr>
          <w:rFonts w:ascii="Times New Roman" w:hAnsi="Times New Roman" w:cs="Times New Roman" w:hint="eastAsia"/>
          <w:szCs w:val="20"/>
        </w:rPr>
        <w:t xml:space="preserve">facing a negative shock </w:t>
      </w:r>
      <w:r w:rsidRPr="00C44EF7">
        <w:rPr>
          <w:rFonts w:ascii="Times New Roman" w:hAnsi="Times New Roman" w:cs="Times New Roman"/>
          <w:szCs w:val="20"/>
        </w:rPr>
        <w:t xml:space="preserve">could make non-member firms </w:t>
      </w:r>
      <w:r w:rsidRPr="00C44EF7">
        <w:rPr>
          <w:rFonts w:ascii="Times New Roman" w:hAnsi="Times New Roman" w:cs="Times New Roman" w:hint="eastAsia"/>
          <w:szCs w:val="20"/>
        </w:rPr>
        <w:t xml:space="preserve">even </w:t>
      </w:r>
      <w:r w:rsidRPr="00C44EF7">
        <w:rPr>
          <w:rFonts w:ascii="Times New Roman" w:hAnsi="Times New Roman" w:cs="Times New Roman"/>
          <w:szCs w:val="20"/>
        </w:rPr>
        <w:t>more financially constrain</w:t>
      </w:r>
      <w:r w:rsidRPr="00C44EF7">
        <w:rPr>
          <w:rFonts w:ascii="Times New Roman" w:hAnsi="Times New Roman" w:cs="Times New Roman" w:hint="eastAsia"/>
          <w:szCs w:val="20"/>
        </w:rPr>
        <w:t>ed</w:t>
      </w:r>
      <w:r w:rsidRPr="00C44EF7">
        <w:rPr>
          <w:rFonts w:ascii="Times New Roman" w:hAnsi="Times New Roman" w:cs="Times New Roman"/>
          <w:szCs w:val="20"/>
        </w:rPr>
        <w:t xml:space="preserve"> by mak</w:t>
      </w:r>
      <w:r w:rsidRPr="00C44EF7">
        <w:rPr>
          <w:rFonts w:ascii="Times New Roman" w:hAnsi="Times New Roman" w:cs="Times New Roman" w:hint="eastAsia"/>
          <w:szCs w:val="20"/>
        </w:rPr>
        <w:t>ing</w:t>
      </w:r>
      <w:r w:rsidRPr="00C44EF7">
        <w:rPr>
          <w:rFonts w:ascii="Times New Roman" w:hAnsi="Times New Roman" w:cs="Times New Roman"/>
          <w:szCs w:val="20"/>
        </w:rPr>
        <w:t xml:space="preserve"> it harder for them to raise fund in the external </w:t>
      </w:r>
      <w:r w:rsidRPr="00C44EF7">
        <w:rPr>
          <w:rFonts w:ascii="Times New Roman" w:hAnsi="Times New Roman" w:cs="Times New Roman" w:hint="eastAsia"/>
          <w:szCs w:val="20"/>
        </w:rPr>
        <w:t>capital</w:t>
      </w:r>
      <w:r w:rsidRPr="00C44EF7">
        <w:rPr>
          <w:rFonts w:ascii="Times New Roman" w:hAnsi="Times New Roman" w:cs="Times New Roman"/>
          <w:szCs w:val="20"/>
        </w:rPr>
        <w:t xml:space="preserve"> market</w:t>
      </w:r>
      <w:r w:rsidRPr="00C44EF7">
        <w:rPr>
          <w:rFonts w:ascii="Times New Roman" w:hAnsi="Times New Roman" w:cs="Times New Roman" w:hint="eastAsia"/>
          <w:szCs w:val="20"/>
        </w:rPr>
        <w:t>. Therefore, if our argument is true and financial constrain</w:t>
      </w:r>
      <w:r w:rsidRPr="00C44EF7">
        <w:rPr>
          <w:rFonts w:ascii="Times New Roman" w:hAnsi="Times New Roman" w:cs="Times New Roman"/>
          <w:szCs w:val="20"/>
        </w:rPr>
        <w:t>t</w:t>
      </w:r>
      <w:r w:rsidRPr="00C44EF7">
        <w:rPr>
          <w:rFonts w:ascii="Times New Roman" w:hAnsi="Times New Roman" w:cs="Times New Roman" w:hint="eastAsia"/>
          <w:szCs w:val="20"/>
        </w:rPr>
        <w:t xml:space="preserve"> of non-member firm</w:t>
      </w:r>
      <w:r w:rsidRPr="00C44EF7">
        <w:rPr>
          <w:rFonts w:ascii="Times New Roman" w:hAnsi="Times New Roman" w:cs="Times New Roman"/>
          <w:szCs w:val="20"/>
        </w:rPr>
        <w:t>s</w:t>
      </w:r>
      <w:r w:rsidRPr="00C44EF7">
        <w:rPr>
          <w:rFonts w:ascii="Times New Roman" w:hAnsi="Times New Roman" w:cs="Times New Roman" w:hint="eastAsia"/>
          <w:szCs w:val="20"/>
        </w:rPr>
        <w:t xml:space="preserve"> is the key element behind the externality of business group, we will have the following hypothesis:</w:t>
      </w:r>
    </w:p>
    <w:p w:rsidR="00C44EF7" w:rsidRPr="00C44EF7" w:rsidRDefault="00C44EF7" w:rsidP="00C44EF7">
      <w:pPr>
        <w:spacing w:line="480" w:lineRule="auto"/>
        <w:contextualSpacing/>
        <w:rPr>
          <w:rFonts w:ascii="Times New Roman" w:hAnsi="Times New Roman" w:cs="Times New Roman"/>
          <w:szCs w:val="20"/>
        </w:rPr>
      </w:pPr>
      <w:r w:rsidRPr="00C44EF7">
        <w:rPr>
          <w:rFonts w:ascii="Times New Roman" w:hAnsi="Times New Roman" w:cs="Times New Roman"/>
          <w:b/>
          <w:szCs w:val="20"/>
        </w:rPr>
        <w:t>H</w:t>
      </w:r>
      <w:r w:rsidRPr="00C44EF7">
        <w:rPr>
          <w:rFonts w:ascii="Times New Roman" w:hAnsi="Times New Roman" w:cs="Times New Roman" w:hint="eastAsia"/>
          <w:b/>
          <w:szCs w:val="20"/>
        </w:rPr>
        <w:t>4</w:t>
      </w:r>
      <w:r w:rsidRPr="00C44EF7">
        <w:rPr>
          <w:rFonts w:ascii="Times New Roman" w:hAnsi="Times New Roman" w:cs="Times New Roman"/>
          <w:b/>
          <w:szCs w:val="20"/>
        </w:rPr>
        <w:t>:</w:t>
      </w:r>
      <w:r w:rsidRPr="00C44EF7">
        <w:rPr>
          <w:rFonts w:ascii="Times New Roman" w:hAnsi="Times New Roman" w:cs="Times New Roman"/>
          <w:szCs w:val="20"/>
        </w:rPr>
        <w:t xml:space="preserve"> Compared to normal times, the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of non-member firms is more severely </w:t>
      </w:r>
      <w:r w:rsidRPr="00C44EF7">
        <w:rPr>
          <w:rFonts w:ascii="Times New Roman" w:hAnsi="Times New Roman" w:cs="Times New Roman" w:hint="eastAsia"/>
          <w:szCs w:val="20"/>
        </w:rPr>
        <w:t>affect</w:t>
      </w:r>
      <w:r w:rsidRPr="00C44EF7">
        <w:rPr>
          <w:rFonts w:ascii="Times New Roman" w:hAnsi="Times New Roman" w:cs="Times New Roman"/>
          <w:szCs w:val="20"/>
        </w:rPr>
        <w:t xml:space="preserve">ed by the industry wide business group </w:t>
      </w:r>
      <w:r w:rsidRPr="00C44EF7">
        <w:rPr>
          <w:rFonts w:ascii="Times New Roman" w:hAnsi="Times New Roman" w:cs="Times New Roman" w:hint="eastAsia"/>
          <w:szCs w:val="20"/>
        </w:rPr>
        <w:t>influence</w:t>
      </w:r>
      <w:r w:rsidRPr="00C44EF7">
        <w:rPr>
          <w:rFonts w:ascii="Times New Roman" w:hAnsi="Times New Roman" w:cs="Times New Roman"/>
          <w:szCs w:val="20"/>
        </w:rPr>
        <w:t xml:space="preserve"> level when there are negative shocks in the financial sector.</w:t>
      </w:r>
    </w:p>
    <w:p w:rsidR="00C44EF7" w:rsidRPr="00C44EF7" w:rsidRDefault="00C44EF7" w:rsidP="00C44EF7">
      <w:pPr>
        <w:spacing w:line="480" w:lineRule="auto"/>
        <w:ind w:firstLineChars="100" w:firstLine="200"/>
        <w:contextualSpacing/>
        <w:rPr>
          <w:rFonts w:ascii="Times New Roman" w:hAnsi="Times New Roman" w:cs="Times New Roman"/>
          <w:szCs w:val="20"/>
        </w:rPr>
      </w:pPr>
      <w:r w:rsidRPr="00C44EF7">
        <w:rPr>
          <w:rFonts w:ascii="Times New Roman" w:hAnsi="Times New Roman" w:cs="Times New Roman" w:hint="eastAsia"/>
          <w:szCs w:val="20"/>
        </w:rPr>
        <w:t>F</w:t>
      </w:r>
      <w:r w:rsidRPr="00C44EF7">
        <w:rPr>
          <w:rFonts w:ascii="Times New Roman" w:hAnsi="Times New Roman" w:cs="Times New Roman"/>
          <w:szCs w:val="20"/>
        </w:rPr>
        <w:t>ollow</w:t>
      </w:r>
      <w:r w:rsidRPr="00C44EF7">
        <w:rPr>
          <w:rFonts w:ascii="Times New Roman" w:hAnsi="Times New Roman" w:cs="Times New Roman" w:hint="eastAsia"/>
          <w:szCs w:val="20"/>
        </w:rPr>
        <w:t>ing</w:t>
      </w:r>
      <w:r w:rsidRPr="00C44EF7">
        <w:rPr>
          <w:rFonts w:ascii="Times New Roman" w:hAnsi="Times New Roman" w:cs="Times New Roman"/>
          <w:szCs w:val="20"/>
        </w:rPr>
        <w:t xml:space="preserve"> existing literature such as </w:t>
      </w:r>
      <w:r w:rsidR="00886B05" w:rsidRPr="00C44EF7">
        <w:rPr>
          <w:rFonts w:ascii="Times New Roman" w:hAnsi="Times New Roman" w:cs="Times New Roman"/>
          <w:szCs w:val="20"/>
        </w:rPr>
        <w:fldChar w:fldCharType="begin"/>
      </w:r>
      <w:r w:rsidRPr="00C44EF7">
        <w:rPr>
          <w:rFonts w:ascii="Times New Roman" w:hAnsi="Times New Roman" w:cs="Times New Roman"/>
          <w:szCs w:val="20"/>
        </w:rPr>
        <w:instrText xml:space="preserve"> ADDIN EN.CITE &lt;EndNote&gt;&lt;Cite&gt;&lt;Author&gt;Chiu&lt;/Author&gt;&lt;Year&gt;2015&lt;/Year&gt;&lt;RecNum&gt;96&lt;/RecNum&gt;&lt;DisplayText&gt;Chiu, Peña and Wang (2015)&lt;/DisplayText&gt;&lt;record&gt;&lt;rec-number&gt;96&lt;/rec-number&gt;&lt;foreign-keys&gt;&lt;key app="EN" db-id="0w9rezxppe2pzrezf0lpzvz3rp29t2ds5e5t"&gt;96&lt;/key&gt;&lt;/foreign-keys&gt;&lt;ref-type name="Journal Article"&gt;17&lt;/ref-type&gt;&lt;contributors&gt;&lt;authors&gt;&lt;author&gt;Chiu, Wan-Chien&lt;/author&gt;&lt;author&gt;Peña, Juan Ignacio&lt;/author&gt;&lt;author&gt;Wang, Chih-Wei&lt;/author&gt;&lt;/authors&gt;&lt;/contributors&gt;&lt;titles&gt;&lt;title&gt;Industry characteristics and financial risk contagion&lt;/title&gt;&lt;secondary-title&gt;Journal of Banking &amp;amp; Finance&lt;/secondary-title&gt;&lt;/titles&gt;&lt;periodical&gt;&lt;full-title&gt;Journal of Banking &amp;amp; Finance&lt;/full-title&gt;&lt;/periodical&gt;&lt;pages&gt;411-427&lt;/pages&gt;&lt;volume&gt;50&lt;/volume&gt;&lt;dates&gt;&lt;year&gt;2015&lt;/year&gt;&lt;/dates&gt;&lt;isbn&gt;0378-4266&lt;/isbn&gt;&lt;urls&gt;&lt;/urls&gt;&lt;/record&gt;&lt;/Cite&gt;&lt;/EndNote&gt;</w:instrText>
      </w:r>
      <w:r w:rsidR="00886B05" w:rsidRPr="00C44EF7">
        <w:rPr>
          <w:rFonts w:ascii="Times New Roman" w:hAnsi="Times New Roman" w:cs="Times New Roman"/>
          <w:szCs w:val="20"/>
        </w:rPr>
        <w:fldChar w:fldCharType="separate"/>
      </w:r>
      <w:hyperlink w:anchor="_ENREF_15" w:tooltip="Chiu, 2015 #96" w:history="1">
        <w:r w:rsidR="00F95191">
          <w:rPr>
            <w:rFonts w:ascii="Times New Roman" w:hAnsi="Times New Roman" w:cs="Times New Roman"/>
            <w:szCs w:val="20"/>
          </w:rPr>
          <w:t>Chiu et al.</w:t>
        </w:r>
        <w:r w:rsidR="00710C45" w:rsidRPr="00C44EF7">
          <w:rPr>
            <w:rFonts w:ascii="Times New Roman" w:hAnsi="Times New Roman" w:cs="Times New Roman"/>
            <w:szCs w:val="20"/>
          </w:rPr>
          <w:t xml:space="preserve"> (2015</w:t>
        </w:r>
      </w:hyperlink>
      <w:r w:rsidRPr="00C44EF7">
        <w:rPr>
          <w:rFonts w:ascii="Times New Roman" w:hAnsi="Times New Roman" w:cs="Times New Roman"/>
          <w:szCs w:val="20"/>
        </w:rPr>
        <w:t>)</w:t>
      </w:r>
      <w:r w:rsidR="00886B05" w:rsidRPr="00C44EF7">
        <w:rPr>
          <w:rFonts w:ascii="Times New Roman" w:hAnsi="Times New Roman" w:cs="Times New Roman"/>
          <w:szCs w:val="20"/>
        </w:rPr>
        <w:fldChar w:fldCharType="end"/>
      </w:r>
      <w:r w:rsidRPr="00C44EF7">
        <w:rPr>
          <w:rFonts w:ascii="Times New Roman" w:hAnsi="Times New Roman" w:cs="Times New Roman" w:hint="eastAsia"/>
          <w:szCs w:val="20"/>
        </w:rPr>
        <w:t>,</w:t>
      </w:r>
      <w:r w:rsidRPr="00C44EF7">
        <w:rPr>
          <w:rFonts w:ascii="Times New Roman" w:hAnsi="Times New Roman" w:cs="Times New Roman"/>
          <w:szCs w:val="20"/>
        </w:rPr>
        <w:t xml:space="preserve"> </w:t>
      </w:r>
      <w:r w:rsidRPr="00C44EF7">
        <w:rPr>
          <w:rFonts w:ascii="Times New Roman" w:hAnsi="Times New Roman" w:cs="Times New Roman" w:hint="eastAsia"/>
          <w:szCs w:val="20"/>
        </w:rPr>
        <w:t>we use the global financial crisis in 2007 as an exogenous negative shock on financial sector and compare the effect of business group on non-member firms</w:t>
      </w:r>
      <w:r w:rsidRPr="00C44EF7">
        <w:rPr>
          <w:rFonts w:ascii="Times New Roman" w:hAnsi="Times New Roman" w:cs="Times New Roman"/>
          <w:szCs w:val="20"/>
        </w:rPr>
        <w:t>’</w:t>
      </w:r>
      <w:r w:rsidRPr="00C44EF7">
        <w:rPr>
          <w:rFonts w:ascii="Times New Roman" w:hAnsi="Times New Roman" w:cs="Times New Roman" w:hint="eastAsia"/>
          <w:szCs w:val="20"/>
        </w:rPr>
        <w:t xml:space="preserve"> financial distress risk during the crisis period (2007 to 2009) with that during the non-crisis period. W</w:t>
      </w:r>
      <w:r w:rsidRPr="00C44EF7">
        <w:rPr>
          <w:rFonts w:ascii="Times New Roman" w:hAnsi="Times New Roman" w:cs="Times New Roman"/>
          <w:szCs w:val="20"/>
        </w:rPr>
        <w:t xml:space="preserve">e expect that the </w:t>
      </w:r>
      <w:r w:rsidRPr="00C44EF7">
        <w:rPr>
          <w:rFonts w:ascii="Times New Roman" w:hAnsi="Times New Roman" w:cs="Times New Roman" w:hint="eastAsia"/>
          <w:szCs w:val="20"/>
        </w:rPr>
        <w:t xml:space="preserve">potential </w:t>
      </w:r>
      <w:r w:rsidRPr="00C44EF7">
        <w:rPr>
          <w:rFonts w:ascii="Times New Roman" w:hAnsi="Times New Roman" w:cs="Times New Roman"/>
          <w:szCs w:val="20"/>
        </w:rPr>
        <w:t xml:space="preserve">externality of business group on non-member firms’ </w:t>
      </w:r>
      <w:r w:rsidRPr="00C44EF7">
        <w:rPr>
          <w:rFonts w:ascii="Times New Roman" w:hAnsi="Times New Roman" w:cs="Times New Roman" w:hint="eastAsia"/>
          <w:szCs w:val="20"/>
        </w:rPr>
        <w:t>financial distress</w:t>
      </w:r>
      <w:r w:rsidRPr="00C44EF7">
        <w:rPr>
          <w:rFonts w:ascii="Times New Roman" w:hAnsi="Times New Roman" w:cs="Times New Roman"/>
          <w:szCs w:val="20"/>
        </w:rPr>
        <w:t xml:space="preserve"> risk is much stronger in the financial crisis period</w:t>
      </w:r>
    </w:p>
    <w:p w:rsidR="00C44EF7" w:rsidRDefault="00C44EF7" w:rsidP="00B50611">
      <w:pPr>
        <w:spacing w:line="480" w:lineRule="auto"/>
        <w:contextualSpacing/>
        <w:rPr>
          <w:rFonts w:ascii="Times New Roman" w:hAnsi="Times New Roman" w:cs="Times New Roman"/>
          <w:szCs w:val="20"/>
        </w:rPr>
      </w:pPr>
    </w:p>
    <w:p w:rsidR="00B50611" w:rsidRPr="00190862" w:rsidRDefault="00886B05" w:rsidP="00190862">
      <w:pPr>
        <w:spacing w:line="420" w:lineRule="auto"/>
        <w:contextualSpacing/>
        <w:rPr>
          <w:rFonts w:ascii="Times New Roman" w:hAnsi="Times New Roman" w:cs="Times New Roman"/>
          <w:b/>
          <w:sz w:val="30"/>
          <w:szCs w:val="30"/>
        </w:rPr>
      </w:pPr>
      <w:r>
        <w:rPr>
          <w:rFonts w:ascii="Times New Roman" w:hAnsi="Times New Roman" w:cs="Times New Roman"/>
          <w:b/>
          <w:sz w:val="30"/>
          <w:szCs w:val="30"/>
        </w:rPr>
        <w:fldChar w:fldCharType="begin"/>
      </w:r>
      <w:r w:rsidR="00F73808">
        <w:rPr>
          <w:rFonts w:ascii="Times New Roman" w:eastAsia="SimSun" w:hAnsi="Times New Roman" w:cs="Times New Roman"/>
          <w:b/>
          <w:sz w:val="30"/>
          <w:szCs w:val="30"/>
          <w:lang w:eastAsia="zh-CN"/>
        </w:rPr>
        <w:instrText xml:space="preserve"> </w:instrText>
      </w:r>
      <w:r w:rsidR="00F73808">
        <w:rPr>
          <w:rFonts w:ascii="Times New Roman" w:eastAsia="SimSun" w:hAnsi="Times New Roman" w:cs="Times New Roman" w:hint="eastAsia"/>
          <w:b/>
          <w:sz w:val="30"/>
          <w:szCs w:val="30"/>
          <w:lang w:eastAsia="zh-CN"/>
        </w:rPr>
        <w:instrText>= 3 \* ROMAN</w:instrText>
      </w:r>
      <w:r w:rsidR="00F73808">
        <w:rPr>
          <w:rFonts w:ascii="Times New Roman" w:eastAsia="SimSun" w:hAnsi="Times New Roman" w:cs="Times New Roman"/>
          <w:b/>
          <w:sz w:val="30"/>
          <w:szCs w:val="30"/>
          <w:lang w:eastAsia="zh-CN"/>
        </w:rPr>
        <w:instrText xml:space="preserve"> </w:instrText>
      </w:r>
      <w:r>
        <w:rPr>
          <w:rFonts w:ascii="Times New Roman" w:hAnsi="Times New Roman" w:cs="Times New Roman"/>
          <w:b/>
          <w:sz w:val="30"/>
          <w:szCs w:val="30"/>
        </w:rPr>
        <w:fldChar w:fldCharType="separate"/>
      </w:r>
      <w:proofErr w:type="gramStart"/>
      <w:r w:rsidR="00F73808">
        <w:rPr>
          <w:rFonts w:ascii="Times New Roman" w:eastAsia="SimSun" w:hAnsi="Times New Roman" w:cs="Times New Roman"/>
          <w:b/>
          <w:noProof/>
          <w:sz w:val="30"/>
          <w:szCs w:val="30"/>
          <w:lang w:eastAsia="zh-CN"/>
        </w:rPr>
        <w:t>III</w:t>
      </w:r>
      <w:r>
        <w:rPr>
          <w:rFonts w:ascii="Times New Roman" w:hAnsi="Times New Roman" w:cs="Times New Roman"/>
          <w:b/>
          <w:sz w:val="30"/>
          <w:szCs w:val="30"/>
        </w:rPr>
        <w:fldChar w:fldCharType="end"/>
      </w:r>
      <w:r w:rsidR="00B50611" w:rsidRPr="00190862">
        <w:rPr>
          <w:rFonts w:ascii="Times New Roman" w:hAnsi="Times New Roman" w:cs="Times New Roman"/>
          <w:b/>
          <w:sz w:val="30"/>
          <w:szCs w:val="30"/>
        </w:rPr>
        <w:t>.</w:t>
      </w:r>
      <w:proofErr w:type="gramEnd"/>
      <w:r w:rsidR="00B50611" w:rsidRPr="00190862">
        <w:rPr>
          <w:rFonts w:ascii="Times New Roman" w:hAnsi="Times New Roman" w:cs="Times New Roman"/>
          <w:b/>
          <w:sz w:val="30"/>
          <w:szCs w:val="30"/>
        </w:rPr>
        <w:t xml:space="preserve"> Variables and Empirical Strategy</w:t>
      </w:r>
    </w:p>
    <w:p w:rsidR="00B50611" w:rsidRPr="00190862" w:rsidRDefault="00190862" w:rsidP="00190862">
      <w:pPr>
        <w:spacing w:line="420" w:lineRule="auto"/>
        <w:contextualSpacing/>
        <w:rPr>
          <w:rFonts w:ascii="Times New Roman" w:hAnsi="Times New Roman" w:cs="Times New Roman"/>
          <w:sz w:val="26"/>
          <w:szCs w:val="26"/>
        </w:rPr>
      </w:pPr>
      <w:r w:rsidRPr="00190862">
        <w:rPr>
          <w:rFonts w:ascii="Times New Roman" w:hAnsi="Times New Roman" w:cs="Times New Roman"/>
          <w:sz w:val="26"/>
          <w:szCs w:val="26"/>
        </w:rPr>
        <w:t xml:space="preserve">1. </w:t>
      </w:r>
      <w:r w:rsidR="00B50611" w:rsidRPr="00190862">
        <w:rPr>
          <w:rFonts w:ascii="Times New Roman" w:hAnsi="Times New Roman" w:cs="Times New Roman"/>
          <w:sz w:val="26"/>
          <w:szCs w:val="26"/>
        </w:rPr>
        <w:t>Variables</w:t>
      </w:r>
    </w:p>
    <w:p w:rsidR="00B50611" w:rsidRPr="00190862" w:rsidRDefault="00190862" w:rsidP="00190862">
      <w:pPr>
        <w:spacing w:line="420" w:lineRule="auto"/>
        <w:contextualSpacing/>
        <w:rPr>
          <w:rFonts w:ascii="Times New Roman" w:hAnsi="Times New Roman" w:cs="Times New Roman"/>
          <w:sz w:val="24"/>
          <w:szCs w:val="24"/>
        </w:rPr>
      </w:pPr>
      <w:r w:rsidRPr="00190862">
        <w:rPr>
          <w:rFonts w:ascii="Times New Roman" w:hAnsi="Times New Roman" w:cs="Times New Roman"/>
          <w:sz w:val="24"/>
          <w:szCs w:val="24"/>
        </w:rPr>
        <w:t>1)</w:t>
      </w:r>
      <w:r w:rsidR="00B50611" w:rsidRPr="00190862">
        <w:rPr>
          <w:rFonts w:ascii="Times New Roman" w:hAnsi="Times New Roman" w:cs="Times New Roman"/>
          <w:sz w:val="24"/>
          <w:szCs w:val="24"/>
        </w:rPr>
        <w:t xml:space="preserve"> Main variables</w:t>
      </w:r>
    </w:p>
    <w:p w:rsidR="00B50611" w:rsidRPr="00190862" w:rsidRDefault="00B50611" w:rsidP="00190862">
      <w:pPr>
        <w:spacing w:line="420" w:lineRule="auto"/>
        <w:contextualSpacing/>
        <w:rPr>
          <w:rFonts w:ascii="Times New Roman" w:hAnsi="Times New Roman" w:cs="Times New Roman"/>
          <w:szCs w:val="20"/>
        </w:rPr>
      </w:pPr>
      <w:r w:rsidRPr="00190862">
        <w:rPr>
          <w:rFonts w:ascii="Times New Roman" w:hAnsi="Times New Roman" w:cs="Times New Roman"/>
          <w:b/>
          <w:szCs w:val="20"/>
        </w:rPr>
        <w:t>Financial distress risk</w:t>
      </w:r>
      <w:r w:rsidRPr="00190862">
        <w:rPr>
          <w:rFonts w:ascii="Times New Roman" w:hAnsi="Times New Roman" w:cs="Times New Roman"/>
          <w:szCs w:val="20"/>
        </w:rPr>
        <w:t xml:space="preserve">: Since our sample includes both private and public firms, we rely on financial distress risk measures based on accounting information. There are three widely used accounting information based financial distress risk measures: the </w:t>
      </w:r>
      <w:proofErr w:type="spellStart"/>
      <w:r w:rsidRPr="00190862">
        <w:rPr>
          <w:rFonts w:ascii="Times New Roman" w:hAnsi="Times New Roman" w:cs="Times New Roman"/>
          <w:szCs w:val="20"/>
        </w:rPr>
        <w:t>Altaman’s</w:t>
      </w:r>
      <w:proofErr w:type="spellEnd"/>
      <w:r w:rsidRPr="00190862">
        <w:rPr>
          <w:rFonts w:ascii="Times New Roman" w:hAnsi="Times New Roman" w:cs="Times New Roman"/>
          <w:szCs w:val="20"/>
        </w:rPr>
        <w:t xml:space="preserve"> Z-score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&lt;EndNote&gt;&lt;Cite&gt;&lt;Author&gt;Altman&lt;/Author&gt;&lt;Year&gt;1968&lt;/Year&gt;&lt;RecNum&gt;115&lt;/RecNum&gt;&lt;DisplayText&gt;Altman (1968)&lt;/DisplayText&gt;&lt;record&gt;&lt;rec-number&gt;115&lt;/rec-number&gt;&lt;foreign-keys&gt;&lt;key app="EN" db-id="0w9rezxppe2pzrezf0lpzvz3rp29t2ds5e5t"&gt;115&lt;/key&gt;&lt;/foreign-keys&gt;&lt;ref-type name="Journal Article"&gt;17&lt;/ref-type&gt;&lt;contributors&gt;&lt;authors&gt;&lt;author&gt;Altman, Edward I&lt;/author&gt;&lt;/authors&gt;&lt;/contributors&gt;&lt;titles&gt;&lt;title&gt;Financial ratios, discriminant analysis and the prediction of corporate bankruptcy&lt;/title&gt;&lt;secondary-title&gt;The journal of finance&lt;/secondary-title&gt;&lt;/titles&gt;&lt;periodical&gt;&lt;full-title&gt;The Journal of Finance&lt;/full-title&gt;&lt;/periodical&gt;&lt;pages&gt;589-609&lt;/pages&gt;&lt;volume&gt;23&lt;/volume&gt;&lt;number&gt;4&lt;/number&gt;&lt;dates&gt;&lt;year&gt;1968&lt;/year&gt;&lt;/dates&gt;&lt;isbn&gt;1540-6261&lt;/isbn&gt;&lt;urls&gt;&lt;/urls&gt;&lt;/record&gt;&lt;/Cite&gt;&lt;/EndNote&gt;</w:instrText>
      </w:r>
      <w:r w:rsidR="00886B05" w:rsidRPr="00190862">
        <w:rPr>
          <w:rFonts w:ascii="Times New Roman" w:hAnsi="Times New Roman" w:cs="Times New Roman"/>
          <w:szCs w:val="20"/>
        </w:rPr>
        <w:fldChar w:fldCharType="separate"/>
      </w:r>
      <w:hyperlink w:anchor="_ENREF_4" w:tooltip="Altman, 1968 #115" w:history="1">
        <w:r w:rsidR="00710C45" w:rsidRPr="00190862">
          <w:rPr>
            <w:rFonts w:ascii="Times New Roman" w:hAnsi="Times New Roman" w:cs="Times New Roman"/>
            <w:szCs w:val="20"/>
          </w:rPr>
          <w:t>Altman (1968</w:t>
        </w:r>
      </w:hyperlink>
      <w:r w:rsidRPr="00190862">
        <w:rPr>
          <w:rFonts w:ascii="Times New Roman" w:hAnsi="Times New Roman" w:cs="Times New Roman"/>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proofErr w:type="spellStart"/>
      <w:r w:rsidRPr="00190862">
        <w:rPr>
          <w:rFonts w:ascii="Times New Roman" w:hAnsi="Times New Roman" w:cs="Times New Roman"/>
          <w:szCs w:val="20"/>
        </w:rPr>
        <w:t>Ohlson’s</w:t>
      </w:r>
      <w:proofErr w:type="spellEnd"/>
      <w:r w:rsidRPr="00190862">
        <w:rPr>
          <w:rFonts w:ascii="Times New Roman" w:hAnsi="Times New Roman" w:cs="Times New Roman"/>
          <w:szCs w:val="20"/>
        </w:rPr>
        <w:t xml:space="preserve"> O-score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&lt;EndNote&gt;&lt;Cite&gt;&lt;Author&gt;Ohlson&lt;/Author&gt;&lt;Year&gt;1980&lt;/Year&gt;&lt;RecNum&gt;113&lt;/RecNum&gt;&lt;DisplayText&gt;Ohlson (1980)&lt;/DisplayText&gt;&lt;record&gt;&lt;rec-number&gt;113&lt;/rec-number&gt;&lt;foreign-keys&gt;&lt;key app="EN" db-id="0w9rezxppe2pzrezf0lpzvz3rp29t2ds5e5t"&gt;113&lt;/key&gt;&lt;/foreign-keys&gt;&lt;ref-type name="Journal Article"&gt;17&lt;/ref-type&gt;&lt;contributors&gt;&lt;authors&gt;&lt;author&gt;Ohlson, James A&lt;/author&gt;&lt;/authors&gt;&lt;/contributors&gt;&lt;titles&gt;&lt;title&gt;Financial ratios and the probabilistic prediction of bankruptcy&lt;/title&gt;&lt;secondary-title&gt;Journal of accounting research&lt;/secondary-title&gt;&lt;/titles&gt;&lt;periodical&gt;&lt;full-title&gt;Journal of accounting research&lt;/full-title&gt;&lt;/periodical&gt;&lt;pages&gt;109-131&lt;/pages&gt;&lt;dates&gt;&lt;year&gt;1980&lt;/year&gt;&lt;/dates&gt;&lt;isbn&gt;0021-8456&lt;/isbn&gt;&lt;urls&gt;&lt;/urls&gt;&lt;/record&gt;&lt;/Cite&gt;&lt;/EndNote&gt;</w:instrText>
      </w:r>
      <w:r w:rsidR="00886B05" w:rsidRPr="00190862">
        <w:rPr>
          <w:rFonts w:ascii="Times New Roman" w:hAnsi="Times New Roman" w:cs="Times New Roman"/>
          <w:szCs w:val="20"/>
        </w:rPr>
        <w:fldChar w:fldCharType="separate"/>
      </w:r>
      <w:hyperlink w:anchor="_ENREF_30" w:tooltip="Ohlson, 1980 #113" w:history="1">
        <w:r w:rsidR="00710C45" w:rsidRPr="00190862">
          <w:rPr>
            <w:rFonts w:ascii="Times New Roman" w:hAnsi="Times New Roman" w:cs="Times New Roman"/>
            <w:szCs w:val="20"/>
          </w:rPr>
          <w:t>Ohlson (1980</w:t>
        </w:r>
      </w:hyperlink>
      <w:r w:rsidRPr="00190862">
        <w:rPr>
          <w:rFonts w:ascii="Times New Roman" w:hAnsi="Times New Roman" w:cs="Times New Roman"/>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and </w:t>
      </w:r>
      <w:proofErr w:type="spellStart"/>
      <w:r w:rsidRPr="00190862">
        <w:rPr>
          <w:rFonts w:ascii="Times New Roman" w:hAnsi="Times New Roman" w:cs="Times New Roman"/>
          <w:szCs w:val="20"/>
        </w:rPr>
        <w:t>Zmijewski’s</w:t>
      </w:r>
      <w:proofErr w:type="spellEnd"/>
      <w:r w:rsidRPr="00190862">
        <w:rPr>
          <w:rFonts w:ascii="Times New Roman" w:hAnsi="Times New Roman" w:cs="Times New Roman"/>
          <w:szCs w:val="20"/>
        </w:rPr>
        <w:t xml:space="preserve"> ZM-score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&lt;EndNote&gt;&lt;Cite&gt;&lt;Author&gt;Zmijewski&lt;/Author&gt;&lt;Year&gt;1984&lt;/Year&gt;&lt;RecNum&gt;114&lt;/RecNum&gt;&lt;DisplayText&gt;Zmijewski (1984)&lt;/DisplayText&gt;&lt;record&gt;&lt;rec-number&gt;114&lt;/rec-number&gt;&lt;foreign-keys&gt;&lt;key app="EN" db-id="0w9rezxppe2pzrezf0lpzvz3rp29t2ds5e5t"&gt;114&lt;/key&gt;&lt;/foreign-keys&gt;&lt;ref-type name="Journal Article"&gt;17&lt;/ref-type&gt;&lt;contributors&gt;&lt;authors&gt;&lt;author&gt;Zmijewski, Mark E&lt;/author&gt;&lt;/authors&gt;&lt;/contributors&gt;&lt;titles&gt;&lt;title&gt;Methodological issues related to the estimation of financial distress prediction models&lt;/title&gt;&lt;secondary-title&gt;Journal of Accounting research&lt;/secondary-title&gt;&lt;/titles&gt;&lt;periodical&gt;&lt;full-title&gt;Journal of accounting research&lt;/full-title&gt;&lt;/periodical&gt;&lt;pages&gt;59-82&lt;/pages&gt;&lt;dates&gt;&lt;year&gt;1984&lt;/year&gt;&lt;/dates&gt;&lt;isbn&gt;0021-8456&lt;/isbn&gt;&lt;urls&gt;&lt;/urls&gt;&lt;/record&gt;&lt;/Cite&gt;&lt;/EndNote&gt;</w:instrText>
      </w:r>
      <w:r w:rsidR="00886B05" w:rsidRPr="00190862">
        <w:rPr>
          <w:rFonts w:ascii="Times New Roman" w:hAnsi="Times New Roman" w:cs="Times New Roman"/>
          <w:szCs w:val="20"/>
        </w:rPr>
        <w:fldChar w:fldCharType="separate"/>
      </w:r>
      <w:hyperlink w:anchor="_ENREF_37" w:tooltip="Zmijewski, 1984 #114" w:history="1">
        <w:r w:rsidR="00710C45" w:rsidRPr="00190862">
          <w:rPr>
            <w:rFonts w:ascii="Times New Roman" w:hAnsi="Times New Roman" w:cs="Times New Roman"/>
            <w:szCs w:val="20"/>
          </w:rPr>
          <w:t>Zmijewski (1984</w:t>
        </w:r>
      </w:hyperlink>
      <w:r w:rsidRPr="00190862">
        <w:rPr>
          <w:rFonts w:ascii="Times New Roman" w:hAnsi="Times New Roman" w:cs="Times New Roman"/>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proofErr w:type="spellStart"/>
      <w:r w:rsidRPr="00190862">
        <w:rPr>
          <w:rFonts w:ascii="Times New Roman" w:hAnsi="Times New Roman" w:cs="Times New Roman"/>
          <w:szCs w:val="20"/>
        </w:rPr>
        <w:t>Altaman’s</w:t>
      </w:r>
      <w:proofErr w:type="spellEnd"/>
      <w:r w:rsidRPr="00190862">
        <w:rPr>
          <w:rFonts w:ascii="Times New Roman" w:hAnsi="Times New Roman" w:cs="Times New Roman"/>
          <w:szCs w:val="20"/>
        </w:rPr>
        <w:t xml:space="preserve"> Z-score is based on multiple </w:t>
      </w:r>
      <w:proofErr w:type="spellStart"/>
      <w:r w:rsidRPr="00190862">
        <w:rPr>
          <w:rFonts w:ascii="Times New Roman" w:hAnsi="Times New Roman" w:cs="Times New Roman"/>
          <w:szCs w:val="20"/>
        </w:rPr>
        <w:t>discriminant</w:t>
      </w:r>
      <w:proofErr w:type="spellEnd"/>
      <w:r w:rsidRPr="00190862">
        <w:rPr>
          <w:rFonts w:ascii="Times New Roman" w:hAnsi="Times New Roman" w:cs="Times New Roman"/>
          <w:szCs w:val="20"/>
        </w:rPr>
        <w:t xml:space="preserve"> analysis, while </w:t>
      </w:r>
      <w:proofErr w:type="spellStart"/>
      <w:r w:rsidRPr="00190862">
        <w:rPr>
          <w:rFonts w:ascii="Times New Roman" w:hAnsi="Times New Roman" w:cs="Times New Roman"/>
          <w:szCs w:val="20"/>
        </w:rPr>
        <w:t>Ohlson’s</w:t>
      </w:r>
      <w:proofErr w:type="spellEnd"/>
      <w:r w:rsidRPr="00190862">
        <w:rPr>
          <w:rFonts w:ascii="Times New Roman" w:hAnsi="Times New Roman" w:cs="Times New Roman"/>
          <w:szCs w:val="20"/>
        </w:rPr>
        <w:t xml:space="preserve"> O-score and </w:t>
      </w:r>
      <w:proofErr w:type="spellStart"/>
      <w:r w:rsidRPr="00190862">
        <w:rPr>
          <w:rFonts w:ascii="Times New Roman" w:hAnsi="Times New Roman" w:cs="Times New Roman"/>
          <w:szCs w:val="20"/>
        </w:rPr>
        <w:t>Zmijewski’s</w:t>
      </w:r>
      <w:proofErr w:type="spellEnd"/>
      <w:r w:rsidRPr="00190862">
        <w:rPr>
          <w:rFonts w:ascii="Times New Roman" w:hAnsi="Times New Roman" w:cs="Times New Roman"/>
          <w:szCs w:val="20"/>
        </w:rPr>
        <w:t xml:space="preserve"> ZM-score are based on binary response models such as </w:t>
      </w:r>
      <w:proofErr w:type="spellStart"/>
      <w:r w:rsidRPr="00190862">
        <w:rPr>
          <w:rFonts w:ascii="Times New Roman" w:hAnsi="Times New Roman" w:cs="Times New Roman"/>
          <w:szCs w:val="20"/>
        </w:rPr>
        <w:t>logit</w:t>
      </w:r>
      <w:proofErr w:type="spellEnd"/>
      <w:r w:rsidRPr="00190862">
        <w:rPr>
          <w:rFonts w:ascii="Times New Roman" w:hAnsi="Times New Roman" w:cs="Times New Roman"/>
          <w:szCs w:val="20"/>
        </w:rPr>
        <w:t xml:space="preserve"> or </w:t>
      </w:r>
      <w:proofErr w:type="spellStart"/>
      <w:r w:rsidRPr="00190862">
        <w:rPr>
          <w:rFonts w:ascii="Times New Roman" w:hAnsi="Times New Roman" w:cs="Times New Roman"/>
          <w:szCs w:val="20"/>
        </w:rPr>
        <w:t>probit</w:t>
      </w:r>
      <w:proofErr w:type="spellEnd"/>
      <w:r w:rsidRPr="00190862">
        <w:rPr>
          <w:rFonts w:ascii="Times New Roman" w:hAnsi="Times New Roman" w:cs="Times New Roman"/>
          <w:szCs w:val="20"/>
        </w:rPr>
        <w:t xml:space="preserve"> regressions. Since the original </w:t>
      </w:r>
      <w:proofErr w:type="spellStart"/>
      <w:r w:rsidRPr="00190862">
        <w:rPr>
          <w:rFonts w:ascii="Times New Roman" w:hAnsi="Times New Roman" w:cs="Times New Roman"/>
          <w:szCs w:val="20"/>
        </w:rPr>
        <w:t>Altaman’s</w:t>
      </w:r>
      <w:proofErr w:type="spellEnd"/>
      <w:r w:rsidRPr="00190862">
        <w:rPr>
          <w:rFonts w:ascii="Times New Roman" w:hAnsi="Times New Roman" w:cs="Times New Roman"/>
          <w:szCs w:val="20"/>
        </w:rPr>
        <w:t xml:space="preserve"> Z-score (or </w:t>
      </w:r>
      <w:proofErr w:type="spellStart"/>
      <w:r w:rsidRPr="00190862">
        <w:rPr>
          <w:rFonts w:ascii="Times New Roman" w:hAnsi="Times New Roman" w:cs="Times New Roman"/>
          <w:szCs w:val="20"/>
        </w:rPr>
        <w:t>Ohlson’s</w:t>
      </w:r>
      <w:proofErr w:type="spellEnd"/>
      <w:r w:rsidRPr="00190862">
        <w:rPr>
          <w:rFonts w:ascii="Times New Roman" w:hAnsi="Times New Roman" w:cs="Times New Roman"/>
          <w:szCs w:val="20"/>
        </w:rPr>
        <w:t xml:space="preserve"> O-score, or </w:t>
      </w:r>
      <w:proofErr w:type="spellStart"/>
      <w:r w:rsidRPr="00190862">
        <w:rPr>
          <w:rFonts w:ascii="Times New Roman" w:hAnsi="Times New Roman" w:cs="Times New Roman"/>
          <w:szCs w:val="20"/>
        </w:rPr>
        <w:t>Zmijewski’s</w:t>
      </w:r>
      <w:proofErr w:type="spellEnd"/>
      <w:r w:rsidRPr="00190862">
        <w:rPr>
          <w:rFonts w:ascii="Times New Roman" w:hAnsi="Times New Roman" w:cs="Times New Roman"/>
          <w:szCs w:val="20"/>
        </w:rPr>
        <w:t xml:space="preserve"> ZM-score) coefficients are constructed using U.S. data, we adopt an updated version of </w:t>
      </w:r>
      <w:proofErr w:type="spellStart"/>
      <w:r w:rsidRPr="00190862">
        <w:rPr>
          <w:rFonts w:ascii="Times New Roman" w:hAnsi="Times New Roman" w:cs="Times New Roman"/>
          <w:szCs w:val="20"/>
        </w:rPr>
        <w:t>Altaman’s</w:t>
      </w:r>
      <w:proofErr w:type="spellEnd"/>
      <w:r w:rsidRPr="00190862">
        <w:rPr>
          <w:rFonts w:ascii="Times New Roman" w:hAnsi="Times New Roman" w:cs="Times New Roman"/>
          <w:szCs w:val="20"/>
        </w:rPr>
        <w:t xml:space="preserve"> Z-score and </w:t>
      </w:r>
      <w:proofErr w:type="spellStart"/>
      <w:r w:rsidRPr="00190862">
        <w:rPr>
          <w:rFonts w:ascii="Times New Roman" w:hAnsi="Times New Roman" w:cs="Times New Roman"/>
          <w:szCs w:val="20"/>
        </w:rPr>
        <w:t>Ohlson’s</w:t>
      </w:r>
      <w:proofErr w:type="spellEnd"/>
      <w:r w:rsidRPr="00190862">
        <w:rPr>
          <w:rFonts w:ascii="Times New Roman" w:hAnsi="Times New Roman" w:cs="Times New Roman"/>
          <w:szCs w:val="20"/>
        </w:rPr>
        <w:t xml:space="preserve"> O-score using Korean data</w:t>
      </w:r>
      <w:r w:rsidRPr="00190862">
        <w:rPr>
          <w:rStyle w:val="a4"/>
          <w:rFonts w:ascii="Times New Roman" w:hAnsi="Times New Roman" w:cs="Times New Roman"/>
          <w:szCs w:val="20"/>
        </w:rPr>
        <w:footnoteReference w:id="6"/>
      </w:r>
      <w:r w:rsidRPr="00190862">
        <w:rPr>
          <w:rFonts w:ascii="Times New Roman" w:hAnsi="Times New Roman" w:cs="Times New Roman"/>
          <w:szCs w:val="20"/>
        </w:rPr>
        <w:t xml:space="preserve">. The two measures denoted as “KM-score” (using multiple discriminant analysis) and “KL-score” </w:t>
      </w:r>
      <w:r w:rsidRPr="00190862">
        <w:rPr>
          <w:rFonts w:ascii="Times New Roman" w:hAnsi="Times New Roman" w:cs="Times New Roman"/>
          <w:szCs w:val="20"/>
        </w:rPr>
        <w:lastRenderedPageBreak/>
        <w:t xml:space="preserve">(using logit regression analysis) in this study, are from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&lt;EndNote&gt;&lt;Cite&gt;&lt;Author&gt;Lee&lt;/Author&gt;&lt;Year&gt;2015&lt;/Year&gt;&lt;RecNum&gt;131&lt;/RecNum&gt;&lt;DisplayText&gt;Lee and Kim (2015)&lt;/DisplayText&gt;&lt;record&gt;&lt;rec-number&gt;131&lt;/rec-number&gt;&lt;foreign-keys&gt;&lt;key app="EN" db-id="0w9rezxppe2pzrezf0lpzvz3rp29t2ds5e5t"&gt;131&lt;/key&gt;&lt;/foreign-keys&gt;&lt;ref-type name="Journal Article"&gt;17&lt;/ref-type&gt;&lt;contributors&gt;&lt;authors&gt;&lt;author&gt;Lee, Inro&lt;/author&gt;&lt;author&gt;Kim, Dongcheol&lt;/author&gt;&lt;/authors&gt;&lt;/contributors&gt;&lt;titles&gt;&lt;title&gt;An Evaluation of Bankruptcy Prediction Models Using Accounting and Market Indormation in Korea&lt;/title&gt;&lt;secondary-title&gt;Asian Review of Financial Research&lt;/secondary-title&gt;&lt;/titles&gt;&lt;periodical&gt;&lt;full-title&gt;Asian Review of Financial Research&lt;/full-title&gt;&lt;/periodical&gt;&lt;pages&gt;2048-2087&lt;/pages&gt;&lt;volume&gt;28&lt;/volume&gt;&lt;number&gt;4&lt;/number&gt;&lt;dates&gt;&lt;year&gt;2015&lt;/year&gt;&lt;/dates&gt;&lt;urls&gt;&lt;/urls&gt;&lt;/record&gt;&lt;/Cite&gt;&lt;/EndNote&gt;</w:instrText>
      </w:r>
      <w:r w:rsidR="00886B05" w:rsidRPr="00190862">
        <w:rPr>
          <w:rFonts w:ascii="Times New Roman" w:hAnsi="Times New Roman" w:cs="Times New Roman"/>
          <w:szCs w:val="20"/>
        </w:rPr>
        <w:fldChar w:fldCharType="separate"/>
      </w:r>
      <w:hyperlink w:anchor="_ENREF_25" w:tooltip="Lee, 2015 #131" w:history="1">
        <w:r w:rsidR="00710C45" w:rsidRPr="00190862">
          <w:rPr>
            <w:rFonts w:ascii="Times New Roman" w:hAnsi="Times New Roman" w:cs="Times New Roman"/>
            <w:noProof/>
            <w:szCs w:val="20"/>
          </w:rPr>
          <w:t>Lee and Kim (2015</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More specifically,</w:t>
      </w:r>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8298"/>
        <w:gridCol w:w="926"/>
      </w:tblGrid>
      <w:tr w:rsidR="00B50611" w:rsidRPr="00190862" w:rsidTr="00F73808">
        <w:trPr>
          <w:trHeight w:val="1700"/>
        </w:trPr>
        <w:tc>
          <w:tcPr>
            <w:tcW w:w="8298" w:type="dxa"/>
            <w:vAlign w:val="center"/>
          </w:tcPr>
          <w:p w:rsidR="00B50611" w:rsidRPr="00190862" w:rsidRDefault="00B50611" w:rsidP="00190862">
            <w:pPr>
              <w:spacing w:line="420" w:lineRule="auto"/>
              <w:contextualSpacing/>
              <w:jc w:val="center"/>
              <w:rPr>
                <w:rFonts w:ascii="Times New Roman" w:hAnsi="Times New Roman" w:cs="Times New Roman"/>
                <w:szCs w:val="20"/>
              </w:rPr>
            </w:pPr>
            <m:oMathPara>
              <m:oMathParaPr>
                <m:jc m:val="left"/>
              </m:oMathParaPr>
              <m:oMath>
                <m:r>
                  <w:rPr>
                    <w:rFonts w:ascii="Cambria Math" w:hAnsi="Cambria Math" w:cs="Times New Roman"/>
                    <w:szCs w:val="20"/>
                  </w:rPr>
                  <m:t>KM-score</m:t>
                </m:r>
                <m:r>
                  <w:rPr>
                    <w:rStyle w:val="a4"/>
                    <w:rFonts w:ascii="Cambria Math" w:hAnsi="Cambria Math" w:cs="Times New Roman"/>
                    <w:i/>
                    <w:szCs w:val="20"/>
                  </w:rPr>
                  <w:footnoteReference w:id="7"/>
                </m:r>
                <m:r>
                  <w:rPr>
                    <w:rFonts w:ascii="Cambria Math" w:hAnsi="Cambria Math" w:cs="Times New Roman"/>
                    <w:szCs w:val="20"/>
                  </w:rPr>
                  <m:t>=3.9+6.6*TLTA-0.39*</m:t>
                </m:r>
                <m:func>
                  <m:funcPr>
                    <m:ctrlPr>
                      <w:rPr>
                        <w:rFonts w:ascii="Cambria Math" w:hAnsi="Cambria Math" w:cs="Times New Roman"/>
                        <w:i/>
                        <w:szCs w:val="20"/>
                      </w:rPr>
                    </m:ctrlPr>
                  </m:funcPr>
                  <m:fName>
                    <m:r>
                      <m:rPr>
                        <m:sty m:val="p"/>
                      </m:rPr>
                      <w:rPr>
                        <w:rFonts w:ascii="Cambria Math" w:hAnsi="Cambria Math" w:cs="Times New Roman"/>
                        <w:szCs w:val="20"/>
                      </w:rPr>
                      <m:t>ln</m:t>
                    </m:r>
                  </m:fName>
                  <m:e>
                    <m:r>
                      <w:rPr>
                        <w:rFonts w:ascii="Cambria Math" w:hAnsi="Cambria Math" w:cs="Times New Roman"/>
                        <w:szCs w:val="20"/>
                      </w:rPr>
                      <m:t>TA</m:t>
                    </m:r>
                  </m:e>
                </m:func>
                <m:r>
                  <w:rPr>
                    <w:rFonts w:ascii="Cambria Math" w:hAnsi="Cambria Math" w:cs="Times New Roman"/>
                    <w:szCs w:val="20"/>
                  </w:rPr>
                  <m:t>-0.53*RETA-4.75*FFOTA-0.9*SLTA</m:t>
                </m:r>
              </m:oMath>
            </m:oMathPara>
          </w:p>
          <w:p w:rsidR="00B50611" w:rsidRPr="00190862" w:rsidRDefault="00B50611" w:rsidP="00190862">
            <w:pPr>
              <w:spacing w:line="420" w:lineRule="auto"/>
              <w:contextualSpacing/>
              <w:jc w:val="left"/>
              <w:rPr>
                <w:rFonts w:ascii="Times New Roman" w:hAnsi="Times New Roman" w:cs="Times New Roman"/>
                <w:szCs w:val="20"/>
              </w:rPr>
            </w:pPr>
            <w:r w:rsidRPr="00190862">
              <w:rPr>
                <w:rFonts w:ascii="Times New Roman" w:hAnsi="Times New Roman" w:cs="Times New Roman"/>
                <w:szCs w:val="20"/>
              </w:rPr>
              <w:t>and</w:t>
            </w:r>
          </w:p>
          <w:p w:rsidR="00B50611" w:rsidRPr="00190862" w:rsidRDefault="00B50611" w:rsidP="00190862">
            <w:pPr>
              <w:spacing w:line="420" w:lineRule="auto"/>
              <w:contextualSpacing/>
              <w:jc w:val="center"/>
              <w:rPr>
                <w:rFonts w:ascii="Times New Roman" w:hAnsi="Times New Roman" w:cs="Times New Roman"/>
                <w:szCs w:val="20"/>
              </w:rPr>
            </w:pPr>
            <m:oMathPara>
              <m:oMathParaPr>
                <m:jc m:val="left"/>
              </m:oMathParaPr>
              <m:oMath>
                <m:r>
                  <w:rPr>
                    <w:rFonts w:ascii="Cambria Math" w:hAnsi="Cambria Math" w:cs="Times New Roman"/>
                    <w:szCs w:val="20"/>
                  </w:rPr>
                  <m:t>KL-score=2.38+4.89*TLTA-0.39*</m:t>
                </m:r>
                <m:func>
                  <m:funcPr>
                    <m:ctrlPr>
                      <w:rPr>
                        <w:rFonts w:ascii="Cambria Math" w:hAnsi="Cambria Math" w:cs="Times New Roman"/>
                        <w:i/>
                        <w:szCs w:val="20"/>
                      </w:rPr>
                    </m:ctrlPr>
                  </m:funcPr>
                  <m:fName>
                    <m:r>
                      <m:rPr>
                        <m:sty m:val="p"/>
                      </m:rPr>
                      <w:rPr>
                        <w:rFonts w:ascii="Cambria Math" w:hAnsi="Cambria Math" w:cs="Times New Roman"/>
                        <w:szCs w:val="20"/>
                      </w:rPr>
                      <m:t>ln</m:t>
                    </m:r>
                  </m:fName>
                  <m:e>
                    <m:r>
                      <w:rPr>
                        <w:rFonts w:ascii="Cambria Math" w:hAnsi="Cambria Math" w:cs="Times New Roman"/>
                        <w:szCs w:val="20"/>
                      </w:rPr>
                      <m:t>TA</m:t>
                    </m:r>
                  </m:e>
                </m:func>
                <m:r>
                  <w:rPr>
                    <w:rFonts w:ascii="Cambria Math" w:hAnsi="Cambria Math" w:cs="Times New Roman"/>
                    <w:szCs w:val="20"/>
                  </w:rPr>
                  <m:t>-0.15*RETA-2.74*CASHTA-3.32*FFOTA-0.83*</m:t>
                </m:r>
                <m:func>
                  <m:funcPr>
                    <m:ctrlPr>
                      <w:rPr>
                        <w:rFonts w:ascii="Cambria Math" w:hAnsi="Cambria Math" w:cs="Times New Roman"/>
                        <w:i/>
                        <w:szCs w:val="20"/>
                      </w:rPr>
                    </m:ctrlPr>
                  </m:funcPr>
                  <m:fName>
                    <m:r>
                      <m:rPr>
                        <m:sty m:val="p"/>
                      </m:rPr>
                      <w:rPr>
                        <w:rFonts w:ascii="Cambria Math" w:hAnsi="Cambria Math" w:cs="Times New Roman"/>
                        <w:szCs w:val="20"/>
                      </w:rPr>
                      <m:t>ln</m:t>
                    </m:r>
                  </m:fName>
                  <m:e>
                    <m:r>
                      <w:rPr>
                        <w:rFonts w:ascii="Cambria Math" w:hAnsi="Cambria Math" w:cs="Times New Roman"/>
                        <w:szCs w:val="20"/>
                      </w:rPr>
                      <m:t>SLTA</m:t>
                    </m:r>
                  </m:e>
                </m:func>
              </m:oMath>
            </m:oMathPara>
          </w:p>
        </w:tc>
        <w:tc>
          <w:tcPr>
            <w:tcW w:w="926" w:type="dxa"/>
            <w:vAlign w:val="center"/>
          </w:tcPr>
          <w:p w:rsidR="00B50611" w:rsidRPr="00190862" w:rsidRDefault="00B50611" w:rsidP="00190862">
            <w:pPr>
              <w:spacing w:line="420" w:lineRule="auto"/>
              <w:contextualSpacing/>
              <w:jc w:val="center"/>
              <w:rPr>
                <w:rFonts w:ascii="Times New Roman" w:hAnsi="Times New Roman" w:cs="Times New Roman"/>
                <w:szCs w:val="20"/>
              </w:rPr>
            </w:pPr>
            <w:r w:rsidRPr="00190862">
              <w:rPr>
                <w:rFonts w:ascii="Times New Roman" w:hAnsi="Times New Roman" w:cs="Times New Roman"/>
                <w:szCs w:val="20"/>
              </w:rPr>
              <w:t>(1)</w:t>
            </w:r>
          </w:p>
        </w:tc>
      </w:tr>
    </w:tbl>
    <w:p w:rsidR="00B50611" w:rsidRPr="00190862"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 xml:space="preserve">TLTA is total liabilities divided by total assets; </w:t>
      </w:r>
      <m:oMath>
        <m:func>
          <m:funcPr>
            <m:ctrlPr>
              <w:rPr>
                <w:rFonts w:ascii="Cambria Math" w:hAnsi="Cambria Math" w:cs="Times New Roman"/>
                <w:i/>
                <w:szCs w:val="20"/>
              </w:rPr>
            </m:ctrlPr>
          </m:funcPr>
          <m:fName>
            <m:r>
              <m:rPr>
                <m:sty m:val="p"/>
              </m:rPr>
              <w:rPr>
                <w:rFonts w:ascii="Cambria Math" w:hAnsi="Cambria Math" w:cs="Times New Roman"/>
                <w:szCs w:val="20"/>
              </w:rPr>
              <m:t>ln</m:t>
            </m:r>
          </m:fName>
          <m:e>
            <m:r>
              <w:rPr>
                <w:rFonts w:ascii="Cambria Math" w:hAnsi="Cambria Math" w:cs="Times New Roman"/>
                <w:szCs w:val="20"/>
              </w:rPr>
              <m:t>TA</m:t>
            </m:r>
          </m:e>
        </m:func>
      </m:oMath>
      <w:r w:rsidRPr="00190862">
        <w:rPr>
          <w:rFonts w:ascii="Times New Roman" w:hAnsi="Times New Roman" w:cs="Times New Roman"/>
          <w:szCs w:val="20"/>
        </w:rPr>
        <w:t xml:space="preserve"> is natural logarithm of total assets; RETA is retained earnings divided by total assets; FFOTA is operating cash flows divided by total assets; SLTA is sales divided by total assets; CASHTA is cash divided by total assets; and </w:t>
      </w:r>
      <m:oMath>
        <m:func>
          <m:funcPr>
            <m:ctrlPr>
              <w:rPr>
                <w:rFonts w:ascii="Cambria Math" w:hAnsi="Cambria Math" w:cs="Times New Roman"/>
                <w:i/>
                <w:szCs w:val="20"/>
              </w:rPr>
            </m:ctrlPr>
          </m:funcPr>
          <m:fName>
            <m:r>
              <m:rPr>
                <m:sty m:val="p"/>
              </m:rPr>
              <w:rPr>
                <w:rFonts w:ascii="Cambria Math" w:hAnsi="Cambria Math" w:cs="Times New Roman"/>
                <w:szCs w:val="20"/>
              </w:rPr>
              <m:t>ln</m:t>
            </m:r>
          </m:fName>
          <m:e>
            <m:r>
              <w:rPr>
                <w:rFonts w:ascii="Cambria Math" w:hAnsi="Cambria Math" w:cs="Times New Roman"/>
                <w:szCs w:val="20"/>
              </w:rPr>
              <m:t>SLTA</m:t>
            </m:r>
          </m:e>
        </m:func>
      </m:oMath>
      <w:r w:rsidRPr="00190862">
        <w:rPr>
          <w:rFonts w:ascii="Times New Roman" w:hAnsi="Times New Roman" w:cs="Times New Roman"/>
          <w:szCs w:val="20"/>
        </w:rPr>
        <w:t xml:space="preserve"> is natural logarithm of the ratio between sales and total assets. Therefore, the higher the KM-score and KL-score are, the higher the financial distress risk of a firm is.</w:t>
      </w:r>
    </w:p>
    <w:p w:rsidR="00B50611" w:rsidRPr="00190862"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We also use credit rating data as an alternative measure of financial distress risk for public firms only because unfortunately, the information is not available for private firms. More specifically, credit rating is a categorical variable that ranges from one to ten, one being the lowest default risk and ten being the highest default risk.</w:t>
      </w:r>
    </w:p>
    <w:p w:rsidR="00B50611" w:rsidRPr="00190862" w:rsidRDefault="00B50611" w:rsidP="00190862">
      <w:pPr>
        <w:spacing w:line="420" w:lineRule="auto"/>
        <w:contextualSpacing/>
        <w:rPr>
          <w:rFonts w:ascii="Times New Roman" w:hAnsi="Times New Roman" w:cs="Times New Roman"/>
          <w:szCs w:val="20"/>
        </w:rPr>
      </w:pPr>
      <w:r w:rsidRPr="00190862">
        <w:rPr>
          <w:rFonts w:ascii="Times New Roman" w:hAnsi="Times New Roman" w:cs="Times New Roman"/>
          <w:b/>
          <w:szCs w:val="20"/>
        </w:rPr>
        <w:t>Business Group Influence</w:t>
      </w:r>
      <w:r w:rsidRPr="00190862">
        <w:rPr>
          <w:rFonts w:ascii="Times New Roman" w:hAnsi="Times New Roman" w:cs="Times New Roman"/>
          <w:szCs w:val="20"/>
        </w:rPr>
        <w:t xml:space="preserve">: In measuring industry wide business group influence, we use the measure developed by </w:t>
      </w:r>
      <w:r w:rsidR="00886B05" w:rsidRPr="00190862">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190862">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the business group strength and dominance index (BSDI). The BSDI takes into account two factors that are critical to the measurement of industry wide business group influence. The first one is the size of internal capital market that is possessed by each member firm in the same industry. To proxy for internal capital market size, total assets of the entire business group (exclude the focal member firm) is used. The second factor is the market share of each member firm in the same industry. More specifically, the index for 4-digit K-SIC code industry k at year t is calculated using the following formula:</w:t>
      </w:r>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8478"/>
        <w:gridCol w:w="746"/>
      </w:tblGrid>
      <w:tr w:rsidR="00B50611" w:rsidRPr="00190862" w:rsidTr="00F73808">
        <w:trPr>
          <w:trHeight w:val="1241"/>
        </w:trPr>
        <w:tc>
          <w:tcPr>
            <w:tcW w:w="8478" w:type="dxa"/>
            <w:vAlign w:val="center"/>
          </w:tcPr>
          <w:p w:rsidR="00B50611" w:rsidRPr="00190862" w:rsidRDefault="00886B05" w:rsidP="00190862">
            <w:pPr>
              <w:spacing w:after="200" w:line="420" w:lineRule="auto"/>
              <w:contextualSpacing/>
              <w:jc w:val="center"/>
              <w:rPr>
                <w:rFonts w:ascii="Times New Roman" w:hAnsi="Times New Roman" w:cs="Times New Roman"/>
                <w:szCs w:val="20"/>
              </w:rPr>
            </w:pPr>
            <m:oMathPara>
              <m:oMath>
                <m:sSub>
                  <m:sSubPr>
                    <m:ctrlPr>
                      <w:rPr>
                        <w:rFonts w:ascii="Cambria Math" w:hAnsi="Cambria Math" w:cs="Times New Roman"/>
                        <w:szCs w:val="20"/>
                      </w:rPr>
                    </m:ctrlPr>
                  </m:sSubPr>
                  <m:e>
                    <m:r>
                      <m:rPr>
                        <m:sty m:val="p"/>
                      </m:rPr>
                      <w:rPr>
                        <w:rFonts w:ascii="Cambria Math" w:hAnsi="Cambria Math" w:cs="Times New Roman"/>
                        <w:szCs w:val="20"/>
                      </w:rPr>
                      <m:t>BSDI</m:t>
                    </m:r>
                  </m:e>
                  <m:sub>
                    <m:r>
                      <m:rPr>
                        <m:sty m:val="p"/>
                      </m:rPr>
                      <w:rPr>
                        <w:rFonts w:ascii="Cambria Math" w:hAnsi="Cambria Math" w:cs="Times New Roman"/>
                        <w:szCs w:val="20"/>
                      </w:rPr>
                      <m:t>k,t</m:t>
                    </m:r>
                  </m:sub>
                </m:sSub>
                <m:r>
                  <m:rPr>
                    <m:sty m:val="p"/>
                  </m:rPr>
                  <w:rPr>
                    <w:rFonts w:ascii="Cambria Math" w:hAnsi="Cambria Math" w:cs="Times New Roman"/>
                    <w:szCs w:val="20"/>
                  </w:rPr>
                  <m:t>=</m:t>
                </m:r>
                <m:f>
                  <m:fPr>
                    <m:ctrlPr>
                      <w:rPr>
                        <w:rFonts w:ascii="Cambria Math" w:hAnsi="Cambria Math" w:cs="Times New Roman"/>
                        <w:i/>
                        <w:szCs w:val="20"/>
                      </w:rPr>
                    </m:ctrlPr>
                  </m:fPr>
                  <m:num>
                    <m:d>
                      <m:dPr>
                        <m:ctrlPr>
                          <w:rPr>
                            <w:rFonts w:ascii="Cambria Math" w:hAnsi="Cambria Math" w:cs="Times New Roman"/>
                            <w:szCs w:val="20"/>
                          </w:rPr>
                        </m:ctrlPr>
                      </m:dPr>
                      <m:e>
                        <m:r>
                          <m:rPr>
                            <m:sty m:val="p"/>
                          </m:rPr>
                          <w:rPr>
                            <w:rFonts w:ascii="Cambria Math" w:hAnsi="Cambria Math" w:cs="Times New Roman"/>
                            <w:szCs w:val="20"/>
                          </w:rPr>
                          <m:t xml:space="preserve"> </m:t>
                        </m:r>
                        <m:f>
                          <m:fPr>
                            <m:ctrlPr>
                              <w:rPr>
                                <w:rFonts w:ascii="Cambria Math" w:hAnsi="Cambria Math" w:cs="Times New Roman"/>
                                <w:szCs w:val="20"/>
                              </w:rPr>
                            </m:ctrlPr>
                          </m:fPr>
                          <m:num>
                            <m:nary>
                              <m:naryPr>
                                <m:chr m:val="∑"/>
                                <m:limLoc m:val="undOvr"/>
                                <m:ctrlPr>
                                  <w:rPr>
                                    <w:rFonts w:ascii="Cambria Math" w:hAnsi="Cambria Math" w:cs="Times New Roman"/>
                                    <w:szCs w:val="20"/>
                                  </w:rPr>
                                </m:ctrlPr>
                              </m:naryPr>
                              <m:sub>
                                <m:r>
                                  <m:rPr>
                                    <m:sty m:val="p"/>
                                  </m:rPr>
                                  <w:rPr>
                                    <w:rFonts w:ascii="Cambria Math" w:hAnsi="Cambria Math" w:cs="Times New Roman"/>
                                    <w:szCs w:val="20"/>
                                  </w:rPr>
                                  <m:t>i=1</m:t>
                                </m:r>
                              </m:sub>
                              <m:sup>
                                <m:r>
                                  <m:rPr>
                                    <m:sty m:val="p"/>
                                  </m:rPr>
                                  <w:rPr>
                                    <w:rFonts w:ascii="Cambria Math" w:hAnsi="Cambria Math" w:cs="Times New Roman"/>
                                    <w:szCs w:val="20"/>
                                  </w:rPr>
                                  <m:t>n</m:t>
                                </m:r>
                              </m:sup>
                              <m:e>
                                <m:sSub>
                                  <m:sSubPr>
                                    <m:ctrlPr>
                                      <w:rPr>
                                        <w:rFonts w:ascii="Cambria Math" w:hAnsi="Cambria Math" w:cs="Times New Roman"/>
                                        <w:szCs w:val="20"/>
                                      </w:rPr>
                                    </m:ctrlPr>
                                  </m:sSubPr>
                                  <m:e>
                                    <m:r>
                                      <m:rPr>
                                        <m:sty m:val="p"/>
                                      </m:rPr>
                                      <w:rPr>
                                        <w:rFonts w:ascii="Cambria Math" w:hAnsi="Cambria Math" w:cs="Times New Roman"/>
                                        <w:szCs w:val="20"/>
                                      </w:rPr>
                                      <m:t>S</m:t>
                                    </m:r>
                                  </m:e>
                                  <m:sub>
                                    <m:r>
                                      <m:rPr>
                                        <m:sty m:val="p"/>
                                      </m:rPr>
                                      <w:rPr>
                                        <w:rFonts w:ascii="Cambria Math" w:hAnsi="Cambria Math" w:cs="Times New Roman"/>
                                        <w:szCs w:val="20"/>
                                      </w:rPr>
                                      <m:t>i,t</m:t>
                                    </m:r>
                                  </m:sub>
                                </m:sSub>
                                <m:r>
                                  <m:rPr>
                                    <m:sty m:val="p"/>
                                  </m:rPr>
                                  <w:rPr>
                                    <w:rFonts w:ascii="Cambria Math" w:hAnsi="Cambria Math" w:cs="Times New Roman"/>
                                    <w:szCs w:val="20"/>
                                  </w:rPr>
                                  <m:t>*</m:t>
                                </m:r>
                                <m:sSub>
                                  <m:sSubPr>
                                    <m:ctrlPr>
                                      <w:rPr>
                                        <w:rFonts w:ascii="Cambria Math" w:hAnsi="Cambria Math" w:cs="Times New Roman"/>
                                        <w:szCs w:val="20"/>
                                      </w:rPr>
                                    </m:ctrlPr>
                                  </m:sSubPr>
                                  <m:e>
                                    <m:r>
                                      <m:rPr>
                                        <m:sty m:val="p"/>
                                      </m:rPr>
                                      <w:rPr>
                                        <w:rFonts w:ascii="Cambria Math" w:hAnsi="Cambria Math" w:cs="Times New Roman"/>
                                        <w:szCs w:val="20"/>
                                      </w:rPr>
                                      <m:t>w</m:t>
                                    </m:r>
                                  </m:e>
                                  <m:sub>
                                    <m:r>
                                      <m:rPr>
                                        <m:sty m:val="p"/>
                                      </m:rPr>
                                      <w:rPr>
                                        <w:rFonts w:ascii="Cambria Math" w:hAnsi="Cambria Math" w:cs="Times New Roman"/>
                                        <w:szCs w:val="20"/>
                                      </w:rPr>
                                      <m:t>i,t</m:t>
                                    </m:r>
                                  </m:sub>
                                </m:sSub>
                              </m:e>
                            </m:nary>
                          </m:num>
                          <m:den>
                            <m:nary>
                              <m:naryPr>
                                <m:chr m:val="∑"/>
                                <m:limLoc m:val="undOvr"/>
                                <m:ctrlPr>
                                  <w:rPr>
                                    <w:rFonts w:ascii="Cambria Math" w:hAnsi="Cambria Math" w:cs="Times New Roman"/>
                                    <w:szCs w:val="20"/>
                                  </w:rPr>
                                </m:ctrlPr>
                              </m:naryPr>
                              <m:sub>
                                <m:r>
                                  <m:rPr>
                                    <m:sty m:val="p"/>
                                  </m:rPr>
                                  <w:rPr>
                                    <w:rFonts w:ascii="Cambria Math" w:hAnsi="Cambria Math" w:cs="Times New Roman"/>
                                    <w:szCs w:val="20"/>
                                  </w:rPr>
                                  <m:t>i=1</m:t>
                                </m:r>
                              </m:sub>
                              <m:sup>
                                <m:r>
                                  <m:rPr>
                                    <m:sty m:val="p"/>
                                  </m:rPr>
                                  <w:rPr>
                                    <w:rFonts w:ascii="Cambria Math" w:hAnsi="Cambria Math" w:cs="Times New Roman"/>
                                    <w:szCs w:val="20"/>
                                  </w:rPr>
                                  <m:t>n</m:t>
                                </m:r>
                              </m:sup>
                              <m:e>
                                <m:sSub>
                                  <m:sSubPr>
                                    <m:ctrlPr>
                                      <w:rPr>
                                        <w:rFonts w:ascii="Cambria Math" w:hAnsi="Cambria Math" w:cs="Times New Roman"/>
                                        <w:szCs w:val="20"/>
                                      </w:rPr>
                                    </m:ctrlPr>
                                  </m:sSubPr>
                                  <m:e>
                                    <m:r>
                                      <m:rPr>
                                        <m:sty m:val="p"/>
                                      </m:rPr>
                                      <w:rPr>
                                        <w:rFonts w:ascii="Cambria Math" w:hAnsi="Cambria Math" w:cs="Times New Roman"/>
                                        <w:szCs w:val="20"/>
                                      </w:rPr>
                                      <m:t>S</m:t>
                                    </m:r>
                                  </m:e>
                                  <m:sub>
                                    <m:r>
                                      <m:rPr>
                                        <m:sty m:val="p"/>
                                      </m:rPr>
                                      <w:rPr>
                                        <w:rFonts w:ascii="Cambria Math" w:hAnsi="Cambria Math" w:cs="Times New Roman"/>
                                        <w:szCs w:val="20"/>
                                      </w:rPr>
                                      <m:t>i,t</m:t>
                                    </m:r>
                                  </m:sub>
                                </m:sSub>
                                <m:r>
                                  <m:rPr>
                                    <m:sty m:val="p"/>
                                  </m:rPr>
                                  <w:rPr>
                                    <w:rFonts w:ascii="Cambria Math" w:hAnsi="Cambria Math" w:cs="Times New Roman"/>
                                    <w:szCs w:val="20"/>
                                  </w:rPr>
                                  <m:t>+</m:t>
                                </m:r>
                                <m:nary>
                                  <m:naryPr>
                                    <m:chr m:val="∑"/>
                                    <m:limLoc m:val="undOvr"/>
                                    <m:ctrlPr>
                                      <w:rPr>
                                        <w:rFonts w:ascii="Cambria Math" w:hAnsi="Cambria Math" w:cs="Times New Roman"/>
                                        <w:szCs w:val="20"/>
                                      </w:rPr>
                                    </m:ctrlPr>
                                  </m:naryPr>
                                  <m:sub>
                                    <m:r>
                                      <m:rPr>
                                        <m:sty m:val="p"/>
                                      </m:rPr>
                                      <w:rPr>
                                        <w:rFonts w:ascii="Cambria Math" w:hAnsi="Cambria Math" w:cs="Times New Roman"/>
                                        <w:szCs w:val="20"/>
                                      </w:rPr>
                                      <m:t>j=1</m:t>
                                    </m:r>
                                  </m:sub>
                                  <m:sup>
                                    <m:r>
                                      <m:rPr>
                                        <m:sty m:val="p"/>
                                      </m:rPr>
                                      <w:rPr>
                                        <w:rFonts w:ascii="Cambria Math" w:hAnsi="Cambria Math" w:cs="Times New Roman"/>
                                        <w:szCs w:val="20"/>
                                      </w:rPr>
                                      <m:t>m</m:t>
                                    </m:r>
                                  </m:sup>
                                  <m:e>
                                    <m:sSub>
                                      <m:sSubPr>
                                        <m:ctrlPr>
                                          <w:rPr>
                                            <w:rFonts w:ascii="Cambria Math" w:hAnsi="Cambria Math" w:cs="Times New Roman"/>
                                            <w:szCs w:val="20"/>
                                          </w:rPr>
                                        </m:ctrlPr>
                                      </m:sSubPr>
                                      <m:e>
                                        <m:r>
                                          <m:rPr>
                                            <m:sty m:val="p"/>
                                          </m:rPr>
                                          <w:rPr>
                                            <w:rFonts w:ascii="Cambria Math" w:hAnsi="Cambria Math" w:cs="Times New Roman"/>
                                            <w:szCs w:val="20"/>
                                          </w:rPr>
                                          <m:t>S</m:t>
                                        </m:r>
                                      </m:e>
                                      <m:sub>
                                        <m:r>
                                          <m:rPr>
                                            <m:sty m:val="p"/>
                                          </m:rPr>
                                          <w:rPr>
                                            <w:rFonts w:ascii="Cambria Math" w:hAnsi="Cambria Math" w:cs="Times New Roman"/>
                                            <w:szCs w:val="20"/>
                                          </w:rPr>
                                          <m:t>j,t</m:t>
                                        </m:r>
                                      </m:sub>
                                    </m:sSub>
                                  </m:e>
                                </m:nary>
                              </m:e>
                            </m:nary>
                          </m:den>
                        </m:f>
                        <m:ctrlPr>
                          <w:rPr>
                            <w:rFonts w:ascii="Cambria Math" w:hAnsi="Cambria Math" w:cs="Times New Roman"/>
                            <w:i/>
                            <w:szCs w:val="20"/>
                          </w:rPr>
                        </m:ctrlPr>
                      </m:e>
                    </m:d>
                    <m:ctrlPr>
                      <w:rPr>
                        <w:rFonts w:ascii="Cambria Math" w:hAnsi="Cambria Math" w:cs="Times New Roman"/>
                        <w:szCs w:val="20"/>
                      </w:rPr>
                    </m:ctrlPr>
                  </m:num>
                  <m:den>
                    <m:sSup>
                      <m:sSupPr>
                        <m:ctrlPr>
                          <w:rPr>
                            <w:rFonts w:ascii="Cambria Math" w:hAnsi="Cambria Math" w:cs="Times New Roman"/>
                            <w:i/>
                            <w:szCs w:val="20"/>
                          </w:rPr>
                        </m:ctrlPr>
                      </m:sSupPr>
                      <m:e>
                        <m:r>
                          <w:rPr>
                            <w:rFonts w:ascii="Cambria Math" w:hAnsi="Cambria Math" w:cs="Times New Roman"/>
                            <w:szCs w:val="20"/>
                          </w:rPr>
                          <m:t>BSDI</m:t>
                        </m:r>
                      </m:e>
                      <m:sup>
                        <m:r>
                          <w:rPr>
                            <w:rFonts w:ascii="Cambria Math" w:hAnsi="Cambria Math" w:cs="Times New Roman"/>
                            <w:szCs w:val="20"/>
                          </w:rPr>
                          <m:t>*</m:t>
                        </m:r>
                      </m:sup>
                    </m:sSup>
                  </m:den>
                </m:f>
                <m:r>
                  <m:rPr>
                    <m:sty m:val="p"/>
                  </m:rPr>
                  <w:rPr>
                    <w:rFonts w:ascii="Cambria Math" w:hAnsi="Cambria Math" w:cs="Times New Roman"/>
                    <w:szCs w:val="20"/>
                  </w:rPr>
                  <m:t xml:space="preserve">, where </m:t>
                </m:r>
                <m:sSub>
                  <m:sSubPr>
                    <m:ctrlPr>
                      <w:rPr>
                        <w:rFonts w:ascii="Cambria Math" w:hAnsi="Cambria Math" w:cs="Times New Roman"/>
                        <w:szCs w:val="20"/>
                      </w:rPr>
                    </m:ctrlPr>
                  </m:sSubPr>
                  <m:e>
                    <m:r>
                      <m:rPr>
                        <m:sty m:val="p"/>
                      </m:rPr>
                      <w:rPr>
                        <w:rFonts w:ascii="Cambria Math" w:hAnsi="Cambria Math" w:cs="Times New Roman"/>
                        <w:szCs w:val="20"/>
                      </w:rPr>
                      <m:t>w</m:t>
                    </m:r>
                  </m:e>
                  <m:sub>
                    <m:r>
                      <m:rPr>
                        <m:sty m:val="p"/>
                      </m:rPr>
                      <w:rPr>
                        <w:rFonts w:ascii="Cambria Math" w:hAnsi="Cambria Math" w:cs="Times New Roman"/>
                        <w:szCs w:val="20"/>
                      </w:rPr>
                      <m:t>i,t</m:t>
                    </m:r>
                  </m:sub>
                </m:sSub>
                <m:r>
                  <m:rPr>
                    <m:sty m:val="p"/>
                  </m:rPr>
                  <w:rPr>
                    <w:rFonts w:ascii="Cambria Math" w:hAnsi="Cambria Math" w:cs="Times New Roman"/>
                    <w:szCs w:val="20"/>
                  </w:rPr>
                  <m:t>=</m:t>
                </m:r>
                <m:f>
                  <m:fPr>
                    <m:ctrlPr>
                      <w:rPr>
                        <w:rFonts w:ascii="Cambria Math" w:hAnsi="Cambria Math" w:cs="Times New Roman"/>
                        <w:szCs w:val="20"/>
                      </w:rPr>
                    </m:ctrlPr>
                  </m:fPr>
                  <m:num>
                    <m:sSub>
                      <m:sSubPr>
                        <m:ctrlPr>
                          <w:rPr>
                            <w:rFonts w:ascii="Cambria Math" w:hAnsi="Cambria Math" w:cs="Times New Roman"/>
                            <w:szCs w:val="20"/>
                          </w:rPr>
                        </m:ctrlPr>
                      </m:sSubPr>
                      <m:e>
                        <m:r>
                          <m:rPr>
                            <m:sty m:val="p"/>
                          </m:rPr>
                          <w:rPr>
                            <w:rFonts w:ascii="Cambria Math" w:hAnsi="Cambria Math" w:cs="Times New Roman"/>
                            <w:szCs w:val="20"/>
                          </w:rPr>
                          <m:t>ICM</m:t>
                        </m:r>
                      </m:e>
                      <m:sub>
                        <m:r>
                          <m:rPr>
                            <m:sty m:val="p"/>
                          </m:rPr>
                          <w:rPr>
                            <w:rFonts w:ascii="Cambria Math" w:hAnsi="Cambria Math" w:cs="Times New Roman"/>
                            <w:szCs w:val="20"/>
                          </w:rPr>
                          <m:t>i,t</m:t>
                        </m:r>
                      </m:sub>
                    </m:sSub>
                  </m:num>
                  <m:den>
                    <m:sSubSup>
                      <m:sSubSupPr>
                        <m:ctrlPr>
                          <w:rPr>
                            <w:rFonts w:ascii="Cambria Math" w:hAnsi="Cambria Math" w:cs="Times New Roman"/>
                            <w:szCs w:val="20"/>
                          </w:rPr>
                        </m:ctrlPr>
                      </m:sSubSupPr>
                      <m:e>
                        <m:r>
                          <m:rPr>
                            <m:sty m:val="p"/>
                          </m:rPr>
                          <w:rPr>
                            <w:rFonts w:ascii="Cambria Math" w:hAnsi="Cambria Math" w:cs="Times New Roman"/>
                            <w:szCs w:val="20"/>
                          </w:rPr>
                          <m:t>ICM</m:t>
                        </m:r>
                      </m:e>
                      <m:sub>
                        <m:r>
                          <m:rPr>
                            <m:sty m:val="p"/>
                          </m:rPr>
                          <w:rPr>
                            <w:rFonts w:ascii="Cambria Math" w:hAnsi="Cambria Math" w:cs="Times New Roman"/>
                            <w:szCs w:val="20"/>
                          </w:rPr>
                          <m:t>t</m:t>
                        </m:r>
                      </m:sub>
                      <m:sup>
                        <m:r>
                          <m:rPr>
                            <m:sty m:val="p"/>
                          </m:rPr>
                          <w:rPr>
                            <w:rFonts w:ascii="Cambria Math" w:hAnsi="Cambria Math" w:cs="Times New Roman"/>
                            <w:szCs w:val="20"/>
                          </w:rPr>
                          <m:t>*</m:t>
                        </m:r>
                      </m:sup>
                    </m:sSubSup>
                  </m:den>
                </m:f>
                <m:r>
                  <w:rPr>
                    <w:rFonts w:ascii="Cambria Math" w:hAnsi="Cambria Math" w:cs="Times New Roman"/>
                    <w:szCs w:val="20"/>
                  </w:rPr>
                  <m:t xml:space="preserve"> </m:t>
                </m:r>
              </m:oMath>
            </m:oMathPara>
          </w:p>
          <w:p w:rsidR="00B50611" w:rsidRPr="00190862" w:rsidRDefault="00B50611" w:rsidP="00190862">
            <w:pPr>
              <w:spacing w:line="420" w:lineRule="auto"/>
              <w:contextualSpacing/>
              <w:jc w:val="center"/>
              <w:rPr>
                <w:rFonts w:ascii="Times New Roman" w:hAnsi="Times New Roman" w:cs="Times New Roman"/>
                <w:szCs w:val="20"/>
              </w:rPr>
            </w:pPr>
            <m:oMathPara>
              <m:oMath>
                <m:r>
                  <w:rPr>
                    <w:rFonts w:ascii="Cambria Math" w:hAnsi="Cambria Math" w:cs="Times New Roman"/>
                    <w:szCs w:val="20"/>
                  </w:rPr>
                  <m:t xml:space="preserve">and </m:t>
                </m:r>
                <m:sSup>
                  <m:sSupPr>
                    <m:ctrlPr>
                      <w:rPr>
                        <w:rFonts w:ascii="Cambria Math" w:hAnsi="Cambria Math" w:cs="Times New Roman"/>
                        <w:i/>
                        <w:szCs w:val="20"/>
                      </w:rPr>
                    </m:ctrlPr>
                  </m:sSupPr>
                  <m:e>
                    <m:r>
                      <w:rPr>
                        <w:rFonts w:ascii="Cambria Math" w:hAnsi="Cambria Math" w:cs="Times New Roman"/>
                        <w:szCs w:val="20"/>
                      </w:rPr>
                      <m:t>BSDI</m:t>
                    </m:r>
                  </m:e>
                  <m:sup>
                    <m:r>
                      <w:rPr>
                        <w:rFonts w:ascii="Cambria Math" w:hAnsi="Cambria Math" w:cs="Times New Roman"/>
                        <w:szCs w:val="20"/>
                      </w:rPr>
                      <m:t>*</m:t>
                    </m:r>
                  </m:sup>
                </m:sSup>
                <m:r>
                  <m:rPr>
                    <m:sty m:val="p"/>
                  </m:rPr>
                  <w:rPr>
                    <w:rFonts w:ascii="Cambria Math" w:hAnsi="Cambria Math" w:cs="Times New Roman"/>
                    <w:szCs w:val="20"/>
                  </w:rPr>
                  <m:t>=</m:t>
                </m:r>
                <m:func>
                  <m:funcPr>
                    <m:ctrlPr>
                      <w:rPr>
                        <w:rFonts w:ascii="Cambria Math" w:hAnsi="Cambria Math" w:cs="Times New Roman"/>
                        <w:i/>
                        <w:szCs w:val="20"/>
                      </w:rPr>
                    </m:ctrlPr>
                  </m:funcPr>
                  <m:fName>
                    <m:r>
                      <m:rPr>
                        <m:sty m:val="p"/>
                      </m:rPr>
                      <w:rPr>
                        <w:rFonts w:ascii="Cambria Math" w:hAnsi="Cambria Math" w:cs="Times New Roman"/>
                        <w:szCs w:val="20"/>
                      </w:rPr>
                      <m:t>max</m:t>
                    </m:r>
                  </m:fName>
                  <m:e>
                    <m:d>
                      <m:dPr>
                        <m:ctrlPr>
                          <w:rPr>
                            <w:rFonts w:ascii="Cambria Math" w:hAnsi="Cambria Math" w:cs="Times New Roman"/>
                            <w:i/>
                            <w:szCs w:val="20"/>
                          </w:rPr>
                        </m:ctrlPr>
                      </m:dPr>
                      <m:e>
                        <m:r>
                          <w:rPr>
                            <w:rFonts w:ascii="Cambria Math" w:hAnsi="Cambria Math" w:cs="Times New Roman"/>
                            <w:szCs w:val="20"/>
                          </w:rPr>
                          <m:t xml:space="preserve"> </m:t>
                        </m:r>
                        <m:f>
                          <m:fPr>
                            <m:ctrlPr>
                              <w:rPr>
                                <w:rFonts w:ascii="Cambria Math" w:hAnsi="Cambria Math" w:cs="Times New Roman"/>
                                <w:i/>
                                <w:szCs w:val="20"/>
                              </w:rPr>
                            </m:ctrlPr>
                          </m:fPr>
                          <m:num>
                            <m:nary>
                              <m:naryPr>
                                <m:chr m:val="∑"/>
                                <m:limLoc m:val="undOvr"/>
                                <m:ctrlPr>
                                  <w:rPr>
                                    <w:rFonts w:ascii="Cambria Math" w:hAnsi="Cambria Math" w:cs="Times New Roman"/>
                                    <w:i/>
                                    <w:szCs w:val="20"/>
                                  </w:rPr>
                                </m:ctrlPr>
                              </m:naryPr>
                              <m:sub>
                                <m:r>
                                  <w:rPr>
                                    <w:rFonts w:ascii="Cambria Math" w:hAnsi="Cambria Math" w:cs="Times New Roman"/>
                                    <w:szCs w:val="20"/>
                                  </w:rPr>
                                  <m:t>i=1</m:t>
                                </m:r>
                              </m:sub>
                              <m:sup>
                                <m:r>
                                  <w:rPr>
                                    <w:rFonts w:ascii="Cambria Math" w:hAnsi="Cambria Math" w:cs="Times New Roman"/>
                                    <w:szCs w:val="20"/>
                                  </w:rPr>
                                  <m:t>n</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w</m:t>
                                    </m:r>
                                  </m:e>
                                  <m:sub>
                                    <m:r>
                                      <w:rPr>
                                        <w:rFonts w:ascii="Cambria Math" w:hAnsi="Cambria Math" w:cs="Times New Roman"/>
                                        <w:szCs w:val="20"/>
                                      </w:rPr>
                                      <m:t>i,t</m:t>
                                    </m:r>
                                  </m:sub>
                                </m:sSub>
                              </m:e>
                            </m:nary>
                          </m:num>
                          <m:den>
                            <m:nary>
                              <m:naryPr>
                                <m:chr m:val="∑"/>
                                <m:limLoc m:val="undOvr"/>
                                <m:ctrlPr>
                                  <w:rPr>
                                    <w:rFonts w:ascii="Cambria Math" w:hAnsi="Cambria Math" w:cs="Times New Roman"/>
                                    <w:i/>
                                    <w:szCs w:val="20"/>
                                  </w:rPr>
                                </m:ctrlPr>
                              </m:naryPr>
                              <m:sub>
                                <m:r>
                                  <w:rPr>
                                    <w:rFonts w:ascii="Cambria Math" w:hAnsi="Cambria Math" w:cs="Times New Roman"/>
                                    <w:szCs w:val="20"/>
                                  </w:rPr>
                                  <m:t>i=1</m:t>
                                </m:r>
                              </m:sub>
                              <m:sup>
                                <m:r>
                                  <w:rPr>
                                    <w:rFonts w:ascii="Cambria Math" w:hAnsi="Cambria Math" w:cs="Times New Roman"/>
                                    <w:szCs w:val="20"/>
                                  </w:rPr>
                                  <m:t>n</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i,t</m:t>
                                    </m:r>
                                  </m:sub>
                                </m:sSub>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j=1</m:t>
                                    </m:r>
                                  </m:sub>
                                  <m:sup>
                                    <m:r>
                                      <w:rPr>
                                        <w:rFonts w:ascii="Cambria Math" w:hAnsi="Cambria Math" w:cs="Times New Roman"/>
                                        <w:szCs w:val="20"/>
                                      </w:rPr>
                                      <m:t>m</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j,t</m:t>
                                        </m:r>
                                      </m:sub>
                                    </m:sSub>
                                  </m:e>
                                </m:nary>
                              </m:e>
                            </m:nary>
                          </m:den>
                        </m:f>
                      </m:e>
                    </m:d>
                  </m:e>
                </m:func>
              </m:oMath>
            </m:oMathPara>
          </w:p>
        </w:tc>
        <w:tc>
          <w:tcPr>
            <w:tcW w:w="746" w:type="dxa"/>
            <w:vAlign w:val="center"/>
          </w:tcPr>
          <w:p w:rsidR="00B50611" w:rsidRPr="00190862" w:rsidRDefault="00B50611" w:rsidP="00190862">
            <w:pPr>
              <w:spacing w:line="420" w:lineRule="auto"/>
              <w:contextualSpacing/>
              <w:jc w:val="center"/>
              <w:rPr>
                <w:rFonts w:ascii="Times New Roman" w:hAnsi="Times New Roman" w:cs="Times New Roman"/>
                <w:szCs w:val="20"/>
              </w:rPr>
            </w:pPr>
            <w:r w:rsidRPr="00190862">
              <w:rPr>
                <w:rFonts w:ascii="Times New Roman" w:hAnsi="Times New Roman" w:cs="Times New Roman"/>
                <w:szCs w:val="20"/>
              </w:rPr>
              <w:t>(2)</w:t>
            </w:r>
          </w:p>
        </w:tc>
      </w:tr>
    </w:tbl>
    <w:p w:rsidR="00B50611" w:rsidRPr="00190862" w:rsidRDefault="00B50611" w:rsidP="00190862">
      <w:pPr>
        <w:spacing w:line="420" w:lineRule="auto"/>
        <w:contextualSpacing/>
        <w:rPr>
          <w:rFonts w:ascii="Times New Roman" w:hAnsi="Times New Roman" w:cs="Times New Roman"/>
          <w:szCs w:val="20"/>
        </w:rPr>
      </w:pPr>
      <w:r w:rsidRPr="00190862">
        <w:rPr>
          <w:rFonts w:ascii="Times New Roman" w:hAnsi="Times New Roman" w:cs="Times New Roman"/>
          <w:szCs w:val="20"/>
        </w:rPr>
        <w:t xml:space="preserve">, where </w:t>
      </w:r>
      <w:proofErr w:type="spellStart"/>
      <w:r w:rsidRPr="00190862">
        <w:rPr>
          <w:rFonts w:ascii="Times New Roman" w:hAnsi="Times New Roman" w:cs="Times New Roman"/>
          <w:szCs w:val="20"/>
        </w:rPr>
        <w:t>i</w:t>
      </w:r>
      <w:proofErr w:type="spellEnd"/>
      <w:r w:rsidRPr="00190862">
        <w:rPr>
          <w:rFonts w:ascii="Times New Roman" w:hAnsi="Times New Roman" w:cs="Times New Roman"/>
          <w:szCs w:val="20"/>
        </w:rPr>
        <w:t xml:space="preserve"> denote member firms present in industry k at year t and j denote non-member firms. </w:t>
      </w:r>
      <m:oMath>
        <m:sSub>
          <m:sSubPr>
            <m:ctrlPr>
              <w:rPr>
                <w:rFonts w:ascii="Cambria Math" w:hAnsi="Cambria Math" w:cs="Times New Roman"/>
                <w:szCs w:val="20"/>
              </w:rPr>
            </m:ctrlPr>
          </m:sSubPr>
          <m:e>
            <m:r>
              <m:rPr>
                <m:sty m:val="p"/>
              </m:rPr>
              <w:rPr>
                <w:rFonts w:ascii="Cambria Math" w:hAnsi="Cambria Math" w:cs="Times New Roman"/>
                <w:szCs w:val="20"/>
              </w:rPr>
              <m:t>S</m:t>
            </m:r>
          </m:e>
          <m:sub>
            <m:r>
              <m:rPr>
                <m:sty m:val="p"/>
              </m:rP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szCs w:val="20"/>
              </w:rPr>
            </m:ctrlPr>
          </m:sSubPr>
          <m:e>
            <m:r>
              <m:rPr>
                <m:sty m:val="p"/>
              </m:rPr>
              <w:rPr>
                <w:rFonts w:ascii="Cambria Math" w:hAnsi="Cambria Math" w:cs="Times New Roman"/>
                <w:szCs w:val="20"/>
              </w:rPr>
              <m:t>S</m:t>
            </m:r>
          </m:e>
          <m:sub>
            <m:r>
              <m:rPr>
                <m:sty m:val="p"/>
              </m:rPr>
              <w:rPr>
                <w:rFonts w:ascii="Cambria Math" w:hAnsi="Cambria Math" w:cs="Times New Roman"/>
                <w:szCs w:val="20"/>
              </w:rPr>
              <m:t>jt</m:t>
            </m:r>
          </m:sub>
        </m:sSub>
        <m:r>
          <w:rPr>
            <w:rFonts w:ascii="Cambria Math" w:hAnsi="Cambria Math" w:cs="Times New Roman"/>
            <w:szCs w:val="20"/>
          </w:rPr>
          <m:t>)</m:t>
        </m:r>
      </m:oMath>
      <w:r w:rsidRPr="00190862">
        <w:rPr>
          <w:rFonts w:ascii="Times New Roman" w:hAnsi="Times New Roman" w:cs="Times New Roman"/>
          <w:szCs w:val="20"/>
        </w:rPr>
        <w:t xml:space="preserve"> equals total sales of firm </w:t>
      </w:r>
      <w:proofErr w:type="gramStart"/>
      <w:r w:rsidRPr="00190862">
        <w:rPr>
          <w:rFonts w:ascii="Times New Roman" w:hAnsi="Times New Roman" w:cs="Times New Roman"/>
          <w:szCs w:val="20"/>
        </w:rPr>
        <w:t>i(</w:t>
      </w:r>
      <w:proofErr w:type="gramEnd"/>
      <w:r w:rsidRPr="00190862">
        <w:rPr>
          <w:rFonts w:ascii="Times New Roman" w:hAnsi="Times New Roman" w:cs="Times New Roman"/>
          <w:szCs w:val="20"/>
        </w:rPr>
        <w:t xml:space="preserve">j) at year t and </w:t>
      </w:r>
      <m:oMath>
        <m:sSub>
          <m:sSubPr>
            <m:ctrlPr>
              <w:rPr>
                <w:rFonts w:ascii="Cambria Math" w:hAnsi="Cambria Math" w:cs="Times New Roman"/>
                <w:szCs w:val="20"/>
              </w:rPr>
            </m:ctrlPr>
          </m:sSubPr>
          <m:e>
            <m:r>
              <m:rPr>
                <m:sty m:val="p"/>
              </m:rPr>
              <w:rPr>
                <w:rFonts w:ascii="Cambria Math" w:hAnsi="Cambria Math" w:cs="Times New Roman"/>
                <w:szCs w:val="20"/>
              </w:rPr>
              <m:t>w</m:t>
            </m:r>
          </m:e>
          <m:sub>
            <m:r>
              <m:rPr>
                <m:sty m:val="p"/>
              </m:rPr>
              <w:rPr>
                <w:rFonts w:ascii="Cambria Math" w:hAnsi="Cambria Math" w:cs="Times New Roman"/>
                <w:szCs w:val="20"/>
              </w:rPr>
              <m:t>i,t</m:t>
            </m:r>
          </m:sub>
        </m:sSub>
      </m:oMath>
      <w:r w:rsidRPr="00190862">
        <w:rPr>
          <w:rFonts w:ascii="Times New Roman" w:hAnsi="Times New Roman" w:cs="Times New Roman"/>
          <w:szCs w:val="20"/>
        </w:rPr>
        <w:t xml:space="preserve"> equals </w:t>
      </w:r>
      <m:oMath>
        <m:sSub>
          <m:sSubPr>
            <m:ctrlPr>
              <w:rPr>
                <w:rFonts w:ascii="Cambria Math" w:hAnsi="Cambria Math" w:cs="Times New Roman"/>
                <w:szCs w:val="20"/>
              </w:rPr>
            </m:ctrlPr>
          </m:sSubPr>
          <m:e>
            <m:r>
              <m:rPr>
                <m:sty m:val="p"/>
              </m:rPr>
              <w:rPr>
                <w:rFonts w:ascii="Cambria Math" w:hAnsi="Cambria Math" w:cs="Times New Roman"/>
                <w:szCs w:val="20"/>
              </w:rPr>
              <m:t>ICM</m:t>
            </m:r>
          </m:e>
          <m:sub>
            <m:r>
              <m:rPr>
                <m:sty m:val="p"/>
              </m:rPr>
              <w:rPr>
                <w:rFonts w:ascii="Cambria Math" w:hAnsi="Cambria Math" w:cs="Times New Roman"/>
                <w:szCs w:val="20"/>
              </w:rPr>
              <m:t>it</m:t>
            </m:r>
          </m:sub>
        </m:sSub>
      </m:oMath>
      <w:r w:rsidRPr="00190862">
        <w:rPr>
          <w:rFonts w:ascii="Times New Roman" w:hAnsi="Times New Roman" w:cs="Times New Roman"/>
          <w:szCs w:val="20"/>
        </w:rPr>
        <w:t xml:space="preserve"> divided by </w:t>
      </w:r>
      <m:oMath>
        <m:sSubSup>
          <m:sSubSupPr>
            <m:ctrlPr>
              <w:rPr>
                <w:rFonts w:ascii="Cambria Math" w:hAnsi="Cambria Math" w:cs="Times New Roman"/>
                <w:szCs w:val="20"/>
              </w:rPr>
            </m:ctrlPr>
          </m:sSubSupPr>
          <m:e>
            <m:r>
              <m:rPr>
                <m:sty m:val="p"/>
              </m:rPr>
              <w:rPr>
                <w:rFonts w:ascii="Cambria Math" w:hAnsi="Cambria Math" w:cs="Times New Roman"/>
                <w:szCs w:val="20"/>
              </w:rPr>
              <m:t>ICM</m:t>
            </m:r>
          </m:e>
          <m:sub>
            <m:r>
              <m:rPr>
                <m:sty m:val="p"/>
              </m:rPr>
              <w:rPr>
                <w:rFonts w:ascii="Cambria Math" w:hAnsi="Cambria Math" w:cs="Times New Roman"/>
                <w:szCs w:val="20"/>
              </w:rPr>
              <m:t>t</m:t>
            </m:r>
          </m:sub>
          <m:sup>
            <m:r>
              <m:rPr>
                <m:sty m:val="p"/>
              </m:rPr>
              <w:rPr>
                <w:rFonts w:ascii="Cambria Math" w:hAnsi="Cambria Math" w:cs="Times New Roman"/>
                <w:szCs w:val="20"/>
              </w:rPr>
              <m:t>*</m:t>
            </m:r>
          </m:sup>
        </m:sSubSup>
      </m:oMath>
      <w:r w:rsidRPr="00190862">
        <w:rPr>
          <w:rFonts w:ascii="Times New Roman" w:hAnsi="Times New Roman" w:cs="Times New Roman"/>
          <w:szCs w:val="20"/>
        </w:rPr>
        <w:t xml:space="preserve">, where </w:t>
      </w:r>
      <m:oMath>
        <m:sSub>
          <m:sSubPr>
            <m:ctrlPr>
              <w:rPr>
                <w:rFonts w:ascii="Cambria Math" w:hAnsi="Cambria Math" w:cs="Times New Roman"/>
                <w:szCs w:val="20"/>
              </w:rPr>
            </m:ctrlPr>
          </m:sSubPr>
          <m:e>
            <m:r>
              <m:rPr>
                <m:sty m:val="p"/>
              </m:rPr>
              <w:rPr>
                <w:rFonts w:ascii="Cambria Math" w:hAnsi="Cambria Math" w:cs="Times New Roman"/>
                <w:szCs w:val="20"/>
              </w:rPr>
              <m:t>ICM</m:t>
            </m:r>
          </m:e>
          <m:sub>
            <m:r>
              <m:rPr>
                <m:sty m:val="p"/>
              </m:rPr>
              <w:rPr>
                <w:rFonts w:ascii="Cambria Math" w:hAnsi="Cambria Math" w:cs="Times New Roman"/>
                <w:szCs w:val="20"/>
              </w:rPr>
              <m:t>it</m:t>
            </m:r>
          </m:sub>
        </m:sSub>
      </m:oMath>
      <w:r w:rsidRPr="00190862">
        <w:rPr>
          <w:rFonts w:ascii="Times New Roman" w:hAnsi="Times New Roman" w:cs="Times New Roman"/>
          <w:szCs w:val="20"/>
        </w:rPr>
        <w:t xml:space="preserve"> is the internal capital market size of business group to whom member firm i belongs in year t and </w:t>
      </w:r>
      <m:oMath>
        <m:sSubSup>
          <m:sSubSupPr>
            <m:ctrlPr>
              <w:rPr>
                <w:rFonts w:ascii="Cambria Math" w:hAnsi="Cambria Math" w:cs="Times New Roman"/>
                <w:szCs w:val="20"/>
              </w:rPr>
            </m:ctrlPr>
          </m:sSubSupPr>
          <m:e>
            <m:r>
              <m:rPr>
                <m:sty m:val="p"/>
              </m:rPr>
              <w:rPr>
                <w:rFonts w:ascii="Cambria Math" w:hAnsi="Cambria Math" w:cs="Times New Roman"/>
                <w:szCs w:val="20"/>
              </w:rPr>
              <m:t>ICM</m:t>
            </m:r>
          </m:e>
          <m:sub>
            <m:r>
              <m:rPr>
                <m:sty m:val="p"/>
              </m:rPr>
              <w:rPr>
                <w:rFonts w:ascii="Cambria Math" w:hAnsi="Cambria Math" w:cs="Times New Roman"/>
                <w:szCs w:val="20"/>
              </w:rPr>
              <m:t>t</m:t>
            </m:r>
          </m:sub>
          <m:sup>
            <m:r>
              <m:rPr>
                <m:sty m:val="p"/>
              </m:rPr>
              <w:rPr>
                <w:rFonts w:ascii="Cambria Math" w:hAnsi="Cambria Math" w:cs="Times New Roman"/>
                <w:szCs w:val="20"/>
              </w:rPr>
              <m:t>*</m:t>
            </m:r>
          </m:sup>
        </m:sSubSup>
      </m:oMath>
      <w:r w:rsidRPr="00190862">
        <w:rPr>
          <w:rFonts w:ascii="Times New Roman" w:hAnsi="Times New Roman" w:cs="Times New Roman"/>
          <w:szCs w:val="20"/>
        </w:rPr>
        <w:t xml:space="preserve"> is the sum of all internal capital market </w:t>
      </w:r>
      <w:proofErr w:type="spellStart"/>
      <w:r w:rsidRPr="00190862">
        <w:rPr>
          <w:rFonts w:ascii="Times New Roman" w:hAnsi="Times New Roman" w:cs="Times New Roman"/>
          <w:szCs w:val="20"/>
        </w:rPr>
        <w:t>over all</w:t>
      </w:r>
      <w:proofErr w:type="spellEnd"/>
      <w:r w:rsidRPr="00190862">
        <w:rPr>
          <w:rFonts w:ascii="Times New Roman" w:hAnsi="Times New Roman" w:cs="Times New Roman"/>
          <w:szCs w:val="20"/>
        </w:rPr>
        <w:t xml:space="preserve"> business groups in year t. </w:t>
      </w:r>
      <m:oMath>
        <m:sSub>
          <m:sSubPr>
            <m:ctrlPr>
              <w:rPr>
                <w:rFonts w:ascii="Cambria Math" w:hAnsi="Cambria Math" w:cs="Times New Roman"/>
                <w:szCs w:val="20"/>
              </w:rPr>
            </m:ctrlPr>
          </m:sSubPr>
          <m:e>
            <m:r>
              <m:rPr>
                <m:sty m:val="p"/>
              </m:rPr>
              <w:rPr>
                <w:rFonts w:ascii="Cambria Math" w:hAnsi="Cambria Math" w:cs="Times New Roman"/>
                <w:szCs w:val="20"/>
              </w:rPr>
              <m:t>ICM</m:t>
            </m:r>
          </m:e>
          <m:sub>
            <m:r>
              <m:rPr>
                <m:sty m:val="p"/>
              </m:rPr>
              <w:rPr>
                <w:rFonts w:ascii="Cambria Math" w:hAnsi="Cambria Math" w:cs="Times New Roman"/>
                <w:szCs w:val="20"/>
              </w:rPr>
              <m:t>it</m:t>
            </m:r>
          </m:sub>
        </m:sSub>
      </m:oMath>
      <w:r w:rsidRPr="00190862">
        <w:rPr>
          <w:rFonts w:ascii="Times New Roman" w:hAnsi="Times New Roman" w:cs="Times New Roman"/>
          <w:szCs w:val="20"/>
        </w:rPr>
        <w:t xml:space="preserve"> is measured by the total sum of member firms’ book asset values (excluding firm i). </w:t>
      </w:r>
      <m:oMath>
        <m:sSup>
          <m:sSupPr>
            <m:ctrlPr>
              <w:rPr>
                <w:rFonts w:ascii="Cambria Math" w:hAnsi="Cambria Math" w:cs="Times New Roman"/>
                <w:i/>
                <w:szCs w:val="20"/>
              </w:rPr>
            </m:ctrlPr>
          </m:sSupPr>
          <m:e>
            <m:r>
              <w:rPr>
                <w:rFonts w:ascii="Cambria Math" w:hAnsi="Cambria Math" w:cs="Times New Roman"/>
                <w:szCs w:val="20"/>
              </w:rPr>
              <m:t>BSDI</m:t>
            </m:r>
          </m:e>
          <m:sup>
            <m:r>
              <w:rPr>
                <w:rFonts w:ascii="Cambria Math" w:hAnsi="Cambria Math" w:cs="Times New Roman"/>
                <w:szCs w:val="20"/>
              </w:rPr>
              <m:t>*</m:t>
            </m:r>
          </m:sup>
        </m:sSup>
      </m:oMath>
      <w:r w:rsidRPr="00190862">
        <w:rPr>
          <w:rFonts w:ascii="Times New Roman" w:hAnsi="Times New Roman" w:cs="Times New Roman"/>
          <w:szCs w:val="20"/>
        </w:rPr>
        <w:t xml:space="preserve"> </w:t>
      </w:r>
      <w:proofErr w:type="gramStart"/>
      <w:r w:rsidRPr="00190862">
        <w:rPr>
          <w:rFonts w:ascii="Times New Roman" w:hAnsi="Times New Roman" w:cs="Times New Roman"/>
          <w:szCs w:val="20"/>
        </w:rPr>
        <w:t>is</w:t>
      </w:r>
      <w:proofErr w:type="gramEnd"/>
      <w:r w:rsidRPr="00190862">
        <w:rPr>
          <w:rFonts w:ascii="Times New Roman" w:hAnsi="Times New Roman" w:cs="Times New Roman"/>
          <w:szCs w:val="20"/>
        </w:rPr>
        <w:t xml:space="preserve"> a constant that equals the largest value of </w:t>
      </w:r>
      <m:oMath>
        <m:f>
          <m:fPr>
            <m:ctrlPr>
              <w:rPr>
                <w:rFonts w:ascii="Cambria Math" w:hAnsi="Cambria Math" w:cs="Times New Roman"/>
                <w:i/>
                <w:szCs w:val="20"/>
              </w:rPr>
            </m:ctrlPr>
          </m:fPr>
          <m:num>
            <m:nary>
              <m:naryPr>
                <m:chr m:val="∑"/>
                <m:limLoc m:val="undOvr"/>
                <m:ctrlPr>
                  <w:rPr>
                    <w:rFonts w:ascii="Cambria Math" w:hAnsi="Cambria Math" w:cs="Times New Roman"/>
                    <w:i/>
                    <w:szCs w:val="20"/>
                  </w:rPr>
                </m:ctrlPr>
              </m:naryPr>
              <m:sub>
                <m:r>
                  <w:rPr>
                    <w:rFonts w:ascii="Cambria Math" w:hAnsi="Cambria Math" w:cs="Times New Roman"/>
                    <w:szCs w:val="20"/>
                  </w:rPr>
                  <m:t>i=1</m:t>
                </m:r>
              </m:sub>
              <m:sup>
                <m:r>
                  <w:rPr>
                    <w:rFonts w:ascii="Cambria Math" w:hAnsi="Cambria Math" w:cs="Times New Roman"/>
                    <w:szCs w:val="20"/>
                  </w:rPr>
                  <m:t>n</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w</m:t>
                    </m:r>
                  </m:e>
                  <m:sub>
                    <m:r>
                      <w:rPr>
                        <w:rFonts w:ascii="Cambria Math" w:hAnsi="Cambria Math" w:cs="Times New Roman"/>
                        <w:szCs w:val="20"/>
                      </w:rPr>
                      <m:t>i,t</m:t>
                    </m:r>
                  </m:sub>
                </m:sSub>
              </m:e>
            </m:nary>
          </m:num>
          <m:den>
            <m:nary>
              <m:naryPr>
                <m:chr m:val="∑"/>
                <m:limLoc m:val="undOvr"/>
                <m:ctrlPr>
                  <w:rPr>
                    <w:rFonts w:ascii="Cambria Math" w:hAnsi="Cambria Math" w:cs="Times New Roman"/>
                    <w:i/>
                    <w:szCs w:val="20"/>
                  </w:rPr>
                </m:ctrlPr>
              </m:naryPr>
              <m:sub>
                <m:r>
                  <w:rPr>
                    <w:rFonts w:ascii="Cambria Math" w:hAnsi="Cambria Math" w:cs="Times New Roman"/>
                    <w:szCs w:val="20"/>
                  </w:rPr>
                  <m:t>i=1</m:t>
                </m:r>
              </m:sub>
              <m:sup>
                <m:r>
                  <w:rPr>
                    <w:rFonts w:ascii="Cambria Math" w:hAnsi="Cambria Math" w:cs="Times New Roman"/>
                    <w:szCs w:val="20"/>
                  </w:rPr>
                  <m:t>n</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i,t</m:t>
                    </m:r>
                  </m:sub>
                </m:sSub>
                <m:r>
                  <w:rPr>
                    <w:rFonts w:ascii="Cambria Math" w:hAnsi="Cambria Math" w:cs="Times New Roman"/>
                    <w:szCs w:val="20"/>
                  </w:rPr>
                  <m:t>+</m:t>
                </m:r>
                <m:nary>
                  <m:naryPr>
                    <m:chr m:val="∑"/>
                    <m:limLoc m:val="undOvr"/>
                    <m:ctrlPr>
                      <w:rPr>
                        <w:rFonts w:ascii="Cambria Math" w:hAnsi="Cambria Math" w:cs="Times New Roman"/>
                        <w:i/>
                        <w:szCs w:val="20"/>
                      </w:rPr>
                    </m:ctrlPr>
                  </m:naryPr>
                  <m:sub>
                    <m:r>
                      <w:rPr>
                        <w:rFonts w:ascii="Cambria Math" w:hAnsi="Cambria Math" w:cs="Times New Roman"/>
                        <w:szCs w:val="20"/>
                      </w:rPr>
                      <m:t>j=1</m:t>
                    </m:r>
                  </m:sub>
                  <m:sup>
                    <m:r>
                      <w:rPr>
                        <w:rFonts w:ascii="Cambria Math" w:hAnsi="Cambria Math" w:cs="Times New Roman"/>
                        <w:szCs w:val="20"/>
                      </w:rPr>
                      <m:t>m</m:t>
                    </m:r>
                  </m:sup>
                  <m:e>
                    <m:sSub>
                      <m:sSubPr>
                        <m:ctrlPr>
                          <w:rPr>
                            <w:rFonts w:ascii="Cambria Math" w:hAnsi="Cambria Math" w:cs="Times New Roman"/>
                            <w:i/>
                            <w:szCs w:val="20"/>
                          </w:rPr>
                        </m:ctrlPr>
                      </m:sSubPr>
                      <m:e>
                        <m:r>
                          <w:rPr>
                            <w:rFonts w:ascii="Cambria Math" w:hAnsi="Cambria Math" w:cs="Times New Roman"/>
                            <w:szCs w:val="20"/>
                          </w:rPr>
                          <m:t>S</m:t>
                        </m:r>
                      </m:e>
                      <m:sub>
                        <m:r>
                          <w:rPr>
                            <w:rFonts w:ascii="Cambria Math" w:hAnsi="Cambria Math" w:cs="Times New Roman"/>
                            <w:szCs w:val="20"/>
                          </w:rPr>
                          <m:t>j,t</m:t>
                        </m:r>
                      </m:sub>
                    </m:sSub>
                  </m:e>
                </m:nary>
              </m:e>
            </m:nary>
          </m:den>
        </m:f>
      </m:oMath>
      <w:r w:rsidRPr="00190862">
        <w:rPr>
          <w:rFonts w:ascii="Times New Roman" w:hAnsi="Times New Roman" w:cs="Times New Roman"/>
          <w:szCs w:val="20"/>
        </w:rPr>
        <w:t xml:space="preserve"> and make </w:t>
      </w:r>
      <w:r w:rsidRPr="00190862">
        <w:rPr>
          <w:rFonts w:ascii="Times New Roman" w:hAnsi="Times New Roman" w:cs="Times New Roman"/>
          <w:szCs w:val="20"/>
        </w:rPr>
        <w:lastRenderedPageBreak/>
        <w:t>the maximum value of BSDI equal to one. Therefore, the higher the (relative) size of the internal capital market and the larger the market shares of member firms in the industry, the higher the BSDI will be in industry k, indicating higher influence of business groups in the industry.</w:t>
      </w:r>
    </w:p>
    <w:p w:rsidR="00B50611" w:rsidRPr="00190862"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 xml:space="preserve">As explained in </w:t>
      </w:r>
      <w:r w:rsidR="00886B05" w:rsidRPr="00190862">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190862">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by taking into account the size of internal capital market and member firms’ market share at the same time, the BSDI measures the degree that member firms attract capital from the internal and external capital market (therefore affecting the capital supply in the external capital market). That is, BSDI could serve as a good proxy for the potential impact of business group influence on financial distress risk through the financing channel. BSDI can also properly measure the effect of business group through the product market channel. The reason is as follows. First, the internal capital market size component of BSDI is related to member firms’ financial strength. For example, the higher the size of member firms’ internal capital market, the more likely it can benefit from the co-insurance and/or the deep pocket effect. Second, while market share (or market power) of member firms tends to be high due to the existence of the internal capital market (as discussed in Section 2), market share component of BSDI can proxy for the (strong) market position of member firms. Therefore, in our empirical tests, we use the BSDI as our main proxy for business group influence.</w:t>
      </w:r>
    </w:p>
    <w:p w:rsidR="00B50611" w:rsidRPr="00190862"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As mentioned earlier, the internal capital market of business group could increase member firms’ competitive edge over non-member firms (through, for example, resource flexibility or co-insurance effect), and it makes the inclusion of member firms’ market share information in BSDI appropriate. However, one might argue that under the assumption that business group affiliation has no effect on member firms’ market share</w:t>
      </w:r>
      <w:r w:rsidRPr="00190862">
        <w:rPr>
          <w:rStyle w:val="a4"/>
          <w:rFonts w:ascii="Times New Roman" w:hAnsi="Times New Roman" w:cs="Times New Roman"/>
          <w:szCs w:val="20"/>
        </w:rPr>
        <w:footnoteReference w:id="8"/>
      </w:r>
      <w:r w:rsidRPr="00190862">
        <w:rPr>
          <w:rFonts w:ascii="Times New Roman" w:hAnsi="Times New Roman" w:cs="Times New Roman"/>
          <w:szCs w:val="20"/>
        </w:rPr>
        <w:t>, including</w:t>
      </w:r>
      <w:r w:rsidR="007852F2">
        <w:rPr>
          <w:rFonts w:ascii="Times New Roman" w:hAnsi="Times New Roman" w:cs="Times New Roman"/>
          <w:szCs w:val="20"/>
        </w:rPr>
        <w:t xml:space="preserve"> member firms’ market share in </w:t>
      </w:r>
      <w:r w:rsidRPr="00190862">
        <w:rPr>
          <w:rFonts w:ascii="Times New Roman" w:hAnsi="Times New Roman" w:cs="Times New Roman"/>
          <w:szCs w:val="20"/>
        </w:rPr>
        <w:t>BSDI estimation might lead to the conclusion that the effect of BSDI on non-member firms’ financial distress risk, if any, is simply a pure market share effect that has nothing to do with business group or internal capital market. In other words, the same result can be observed even for non-member firms with the sam</w:t>
      </w:r>
      <w:r w:rsidR="007852F2">
        <w:rPr>
          <w:rFonts w:ascii="Times New Roman" w:hAnsi="Times New Roman" w:cs="Times New Roman"/>
          <w:szCs w:val="20"/>
        </w:rPr>
        <w:t>e market share as member firms.</w:t>
      </w:r>
      <w:r w:rsidRPr="00190862">
        <w:rPr>
          <w:rFonts w:ascii="Times New Roman" w:hAnsi="Times New Roman" w:cs="Times New Roman"/>
          <w:szCs w:val="20"/>
        </w:rPr>
        <w:t xml:space="preserve"> To alleviate this concern, following </w:t>
      </w:r>
      <w:r w:rsidR="00886B05" w:rsidRPr="00190862">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190862">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we decompose the BSDI into two component</w:t>
      </w:r>
      <w:r w:rsidR="007852F2">
        <w:rPr>
          <w:rFonts w:ascii="Times New Roman" w:hAnsi="Times New Roman" w:cs="Times New Roman"/>
          <w:szCs w:val="20"/>
        </w:rPr>
        <w:t>s</w:t>
      </w:r>
      <w:r w:rsidRPr="00190862">
        <w:rPr>
          <w:rFonts w:ascii="Times New Roman" w:hAnsi="Times New Roman" w:cs="Times New Roman"/>
          <w:szCs w:val="20"/>
        </w:rPr>
        <w:t xml:space="preserve"> based on the following regression:</w:t>
      </w:r>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8478"/>
        <w:gridCol w:w="746"/>
      </w:tblGrid>
      <w:tr w:rsidR="00B50611" w:rsidRPr="00190862" w:rsidTr="00F73808">
        <w:trPr>
          <w:trHeight w:val="278"/>
        </w:trPr>
        <w:tc>
          <w:tcPr>
            <w:tcW w:w="8478" w:type="dxa"/>
            <w:vAlign w:val="center"/>
          </w:tcPr>
          <w:p w:rsidR="00B50611" w:rsidRPr="00190862" w:rsidRDefault="00B50611" w:rsidP="00190862">
            <w:pPr>
              <w:spacing w:line="420" w:lineRule="auto"/>
              <w:contextualSpacing/>
              <w:jc w:val="center"/>
              <w:rPr>
                <w:rFonts w:ascii="Times New Roman" w:hAnsi="Times New Roman" w:cs="Times New Roman"/>
                <w:szCs w:val="20"/>
              </w:rPr>
            </w:pPr>
            <m:oMathPara>
              <m:oMath>
                <m:r>
                  <w:rPr>
                    <w:rFonts w:ascii="Cambria Math" w:hAnsi="Cambria Math" w:cs="Times New Roman"/>
                    <w:szCs w:val="20"/>
                  </w:rPr>
                  <m:t>BSDI=  constant+α*Member firm</m:t>
                </m:r>
                <m:sSup>
                  <m:sSupPr>
                    <m:ctrlPr>
                      <w:rPr>
                        <w:rFonts w:ascii="Cambria Math" w:hAnsi="Cambria Math" w:cs="Times New Roman"/>
                        <w:i/>
                        <w:szCs w:val="20"/>
                      </w:rPr>
                    </m:ctrlPr>
                  </m:sSupPr>
                  <m:e>
                    <m:r>
                      <w:rPr>
                        <w:rFonts w:ascii="Cambria Math" w:hAnsi="Cambria Math" w:cs="Times New Roman"/>
                        <w:szCs w:val="20"/>
                      </w:rPr>
                      <m:t>s</m:t>
                    </m:r>
                  </m:e>
                  <m:sup>
                    <m:r>
                      <w:rPr>
                        <w:rFonts w:ascii="Cambria Math" w:hAnsi="Cambria Math" w:cs="Times New Roman"/>
                        <w:szCs w:val="20"/>
                      </w:rPr>
                      <m:t>'</m:t>
                    </m:r>
                  </m:sup>
                </m:sSup>
                <m:r>
                  <w:rPr>
                    <w:rFonts w:ascii="Cambria Math" w:hAnsi="Cambria Math" w:cs="Times New Roman"/>
                    <w:szCs w:val="20"/>
                  </w:rPr>
                  <m:t>marekt share+error</m:t>
                </m:r>
              </m:oMath>
            </m:oMathPara>
          </w:p>
        </w:tc>
        <w:tc>
          <w:tcPr>
            <w:tcW w:w="746" w:type="dxa"/>
            <w:vAlign w:val="center"/>
          </w:tcPr>
          <w:p w:rsidR="00B50611" w:rsidRPr="00190862" w:rsidRDefault="00B50611" w:rsidP="00190862">
            <w:pPr>
              <w:spacing w:line="420" w:lineRule="auto"/>
              <w:contextualSpacing/>
              <w:jc w:val="center"/>
              <w:rPr>
                <w:rFonts w:ascii="Times New Roman" w:hAnsi="Times New Roman" w:cs="Times New Roman"/>
                <w:szCs w:val="20"/>
              </w:rPr>
            </w:pPr>
            <w:r w:rsidRPr="00190862">
              <w:rPr>
                <w:rFonts w:ascii="Times New Roman" w:hAnsi="Times New Roman" w:cs="Times New Roman"/>
                <w:szCs w:val="20"/>
              </w:rPr>
              <w:t>(3)</w:t>
            </w:r>
            <w:r w:rsidRPr="00190862">
              <w:rPr>
                <w:rStyle w:val="a4"/>
                <w:rFonts w:ascii="Times New Roman" w:hAnsi="Times New Roman" w:cs="Times New Roman"/>
                <w:szCs w:val="20"/>
              </w:rPr>
              <w:footnoteReference w:id="9"/>
            </w:r>
          </w:p>
        </w:tc>
      </w:tr>
    </w:tbl>
    <w:p w:rsidR="00B50611" w:rsidRPr="00190862" w:rsidRDefault="00B50611" w:rsidP="00190862">
      <w:pPr>
        <w:spacing w:line="420" w:lineRule="auto"/>
        <w:contextualSpacing/>
        <w:rPr>
          <w:rFonts w:ascii="Times New Roman" w:hAnsi="Times New Roman" w:cs="Times New Roman"/>
          <w:szCs w:val="20"/>
        </w:rPr>
      </w:pPr>
      <w:proofErr w:type="gramStart"/>
      <w:r w:rsidRPr="00190862">
        <w:rPr>
          <w:rFonts w:ascii="Times New Roman" w:hAnsi="Times New Roman" w:cs="Times New Roman"/>
          <w:szCs w:val="20"/>
        </w:rPr>
        <w:t>, where member firms’ market share is the market share of all member firms in the same industry.</w:t>
      </w:r>
      <w:proofErr w:type="gramEnd"/>
      <w:r w:rsidRPr="00190862">
        <w:rPr>
          <w:rFonts w:ascii="Times New Roman" w:hAnsi="Times New Roman" w:cs="Times New Roman"/>
          <w:szCs w:val="20"/>
        </w:rPr>
        <w:t xml:space="preserve"> We refer the fitted value from the above regression as “BG MKT Share” component of BSDI and the residual term as the “ICM Size” component of BSDI. Given the fact that BSDI contains both member firms’ market share information and internal capital market size information, and ICM Size is orthogonal to market share information by construction, we believe ICM Size captures purely the internal capital market size related information in BSDI. Therefore, if the effect of BSDI on non-member firms’ financial distress risk can also be observed for the ICM Size component, then we can be certain that internal capital market (or organizational </w:t>
      </w:r>
      <w:r w:rsidRPr="00190862">
        <w:rPr>
          <w:rFonts w:ascii="Times New Roman" w:hAnsi="Times New Roman" w:cs="Times New Roman"/>
          <w:szCs w:val="20"/>
        </w:rPr>
        <w:lastRenderedPageBreak/>
        <w:t>form) matters and the externality of business group on other firms’ financial distress risk exists.</w:t>
      </w:r>
    </w:p>
    <w:p w:rsidR="00B50611" w:rsidRPr="00190862" w:rsidRDefault="00190862" w:rsidP="00190862">
      <w:pPr>
        <w:spacing w:line="420" w:lineRule="auto"/>
        <w:contextualSpacing/>
        <w:rPr>
          <w:rFonts w:ascii="Times New Roman" w:hAnsi="Times New Roman" w:cs="Times New Roman"/>
          <w:sz w:val="24"/>
          <w:szCs w:val="24"/>
        </w:rPr>
      </w:pPr>
      <w:r w:rsidRPr="00190862">
        <w:rPr>
          <w:rFonts w:ascii="Times New Roman" w:hAnsi="Times New Roman" w:cs="Times New Roman"/>
          <w:sz w:val="24"/>
          <w:szCs w:val="24"/>
        </w:rPr>
        <w:t>2)</w:t>
      </w:r>
      <w:r w:rsidR="00B50611" w:rsidRPr="00190862">
        <w:rPr>
          <w:rFonts w:ascii="Times New Roman" w:hAnsi="Times New Roman" w:cs="Times New Roman"/>
          <w:sz w:val="24"/>
          <w:szCs w:val="24"/>
        </w:rPr>
        <w:t xml:space="preserve"> Control variables</w:t>
      </w:r>
    </w:p>
    <w:p w:rsidR="00B50611"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 xml:space="preserve">We also control for variables that are identified by previous studies to be determinants of firms’ financial distress risk (see for example,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&lt;EndNote&gt;&lt;Cite&gt;&lt;Author&gt;Valta&lt;/Author&gt;&lt;Year&gt;2012&lt;/Year&gt;&lt;RecNum&gt;109&lt;/RecNum&gt;&lt;DisplayText&gt;Valta (2012)&lt;/DisplayText&gt;&lt;record&gt;&lt;rec-number&gt;109&lt;/rec-number&gt;&lt;foreign-keys&gt;&lt;key app="EN" db-id="0w9rezxppe2pzrezf0lpzvz3rp29t2ds5e5t"&gt;109&lt;/key&gt;&lt;/foreign-keys&gt;&lt;ref-type name="Journal Article"&gt;17&lt;/ref-type&gt;&lt;contributors&gt;&lt;authors&gt;&lt;author&gt;Valta, Philip&lt;/author&gt;&lt;/authors&gt;&lt;/contributors&gt;&lt;titles&gt;&lt;title&gt;Competition and the cost of debt&lt;/title&gt;&lt;secondary-title&gt;Journal of Financial Economics&lt;/secondary-title&gt;&lt;/titles&gt;&lt;periodical&gt;&lt;full-title&gt;Journal of Financial Economics&lt;/full-title&gt;&lt;/periodical&gt;&lt;pages&gt;661-682&lt;/pages&gt;&lt;volume&gt;105&lt;/volume&gt;&lt;number&gt;3&lt;/number&gt;&lt;dates&gt;&lt;year&gt;2012&lt;/year&gt;&lt;/dates&gt;&lt;isbn&gt;0304-405X&lt;/isbn&gt;&lt;urls&gt;&lt;/urls&gt;&lt;/record&gt;&lt;/Cite&gt;&lt;/EndNote&gt;</w:instrText>
      </w:r>
      <w:r w:rsidR="00886B05" w:rsidRPr="00190862">
        <w:rPr>
          <w:rFonts w:ascii="Times New Roman" w:hAnsi="Times New Roman" w:cs="Times New Roman"/>
          <w:szCs w:val="20"/>
        </w:rPr>
        <w:fldChar w:fldCharType="separate"/>
      </w:r>
      <w:hyperlink w:anchor="_ENREF_36" w:tooltip="Valta, 2012 #109" w:history="1">
        <w:r w:rsidR="00710C45" w:rsidRPr="00190862">
          <w:rPr>
            <w:rFonts w:ascii="Times New Roman" w:hAnsi="Times New Roman" w:cs="Times New Roman"/>
            <w:noProof/>
            <w:szCs w:val="20"/>
          </w:rPr>
          <w:t>Valta (2012</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&lt;EndNote&gt;&lt;Cite&gt;&lt;Author&gt;Huang&lt;/Author&gt;&lt;Year&gt;2013&lt;/Year&gt;&lt;RecNum&gt;102&lt;/RecNum&gt;&lt;DisplayText&gt;Huang and Lee (2013)&lt;/DisplayText&gt;&lt;record&gt;&lt;rec-number&gt;102&lt;/rec-number&gt;&lt;foreign-keys&gt;&lt;key app="EN" db-id="0w9rezxppe2pzrezf0lpzvz3rp29t2ds5e5t"&gt;102&lt;/key&gt;&lt;/foreign-keys&gt;&lt;ref-type name="Journal Article"&gt;17&lt;/ref-type&gt;&lt;contributors&gt;&lt;authors&gt;&lt;author&gt;Huang, Hsing-Hua&lt;/author&gt;&lt;author&gt;Lee, Han-Hsing&lt;/author&gt;&lt;/authors&gt;&lt;/contributors&gt;&lt;titles&gt;&lt;title&gt;Product market competition and credit risk&lt;/title&gt;&lt;secondary-title&gt;Journal of Banking &amp;amp; Finance&lt;/secondary-title&gt;&lt;/titles&gt;&lt;periodical&gt;&lt;full-title&gt;Journal of Banking &amp;amp; Finance&lt;/full-title&gt;&lt;/periodical&gt;&lt;pages&gt;324-340&lt;/pages&gt;&lt;volume&gt;37&lt;/volume&gt;&lt;number&gt;2&lt;/number&gt;&lt;dates&gt;&lt;year&gt;2013&lt;/year&gt;&lt;/dates&gt;&lt;isbn&gt;0378-4266&lt;/isbn&gt;&lt;urls&gt;&lt;/urls&gt;&lt;/record&gt;&lt;/Cite&gt;&lt;/EndNote&gt;</w:instrText>
      </w:r>
      <w:r w:rsidR="00886B05" w:rsidRPr="00190862">
        <w:rPr>
          <w:rFonts w:ascii="Times New Roman" w:hAnsi="Times New Roman" w:cs="Times New Roman"/>
          <w:szCs w:val="20"/>
        </w:rPr>
        <w:fldChar w:fldCharType="separate"/>
      </w:r>
      <w:hyperlink w:anchor="_ENREF_20" w:tooltip="Huang, 2013 #102" w:history="1">
        <w:r w:rsidR="00710C45" w:rsidRPr="00190862">
          <w:rPr>
            <w:rFonts w:ascii="Times New Roman" w:hAnsi="Times New Roman" w:cs="Times New Roman"/>
            <w:noProof/>
            <w:szCs w:val="20"/>
          </w:rPr>
          <w:t>Huang and Lee (2013</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&lt;EndNote&gt;&lt;Cite&gt;&lt;Author&gt;Shumway&lt;/Author&gt;&lt;Year&gt;2001&lt;/Year&gt;&lt;RecNum&gt;117&lt;/RecNum&gt;&lt;DisplayText&gt;Shumway (2001)&lt;/DisplayText&gt;&lt;record&gt;&lt;rec-number&gt;117&lt;/rec-number&gt;&lt;foreign-keys&gt;&lt;key app="EN" db-id="0w9rezxppe2pzrezf0lpzvz3rp29t2ds5e5t"&gt;117&lt;/key&gt;&lt;/foreign-keys&gt;&lt;ref-type name="Journal Article"&gt;17&lt;/ref-type&gt;&lt;contributors&gt;&lt;authors&gt;&lt;author&gt;Shumway, Tyler&lt;/author&gt;&lt;/authors&gt;&lt;/contributors&gt;&lt;titles&gt;&lt;title&gt;Forecasting bankruptcy more accurately: A simple hazard model*&lt;/title&gt;&lt;secondary-title&gt;The Journal of Business&lt;/secondary-title&gt;&lt;/titles&gt;&lt;periodical&gt;&lt;full-title&gt;The Journal of Business&lt;/full-title&gt;&lt;/periodical&gt;&lt;pages&gt;101-124&lt;/pages&gt;&lt;volume&gt;74&lt;/volume&gt;&lt;number&gt;1&lt;/number&gt;&lt;dates&gt;&lt;year&gt;2001&lt;/year&gt;&lt;/dates&gt;&lt;isbn&gt;0021-9398&lt;/isbn&gt;&lt;urls&gt;&lt;/urls&gt;&lt;/record&gt;&lt;/Cite&gt;&lt;/EndNote&gt;</w:instrText>
      </w:r>
      <w:r w:rsidR="00886B05" w:rsidRPr="00190862">
        <w:rPr>
          <w:rFonts w:ascii="Times New Roman" w:hAnsi="Times New Roman" w:cs="Times New Roman"/>
          <w:szCs w:val="20"/>
        </w:rPr>
        <w:fldChar w:fldCharType="separate"/>
      </w:r>
      <w:hyperlink w:anchor="_ENREF_33" w:tooltip="Shumway, 2001 #117" w:history="1">
        <w:r w:rsidR="00710C45" w:rsidRPr="00190862">
          <w:rPr>
            <w:rFonts w:ascii="Times New Roman" w:hAnsi="Times New Roman" w:cs="Times New Roman"/>
            <w:noProof/>
            <w:szCs w:val="20"/>
          </w:rPr>
          <w:t>Shumway (2001</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&lt;EndNote&gt;&lt;Cite&gt;&lt;Author&gt;Parker&lt;/Author&gt;&lt;Year&gt;2002&lt;/Year&gt;&lt;RecNum&gt;118&lt;/RecNum&gt;&lt;DisplayText&gt;Parker, Peters and Turetsky (2002)&lt;/DisplayText&gt;&lt;record&gt;&lt;rec-number&gt;118&lt;/rec-number&gt;&lt;foreign-keys&gt;&lt;key app="EN" db-id="0w9rezxppe2pzrezf0lpzvz3rp29t2ds5e5t"&gt;118&lt;/key&gt;&lt;/foreign-keys&gt;&lt;ref-type name="Journal Article"&gt;17&lt;/ref-type&gt;&lt;contributors&gt;&lt;authors&gt;&lt;author&gt;Parker, Susan&lt;/author&gt;&lt;author&gt;Peters, Gary F&lt;/author&gt;&lt;author&gt;Turetsky, Howard F&lt;/author&gt;&lt;/authors&gt;&lt;/contributors&gt;&lt;titles&gt;&lt;title&gt;Corporate governance and corporate failure: a survival analysis&lt;/title&gt;&lt;secondary-title&gt;Corporate Governance: The international journal of business in society&lt;/secondary-title&gt;&lt;/titles&gt;&lt;periodical&gt;&lt;full-title&gt;Corporate Governance: The international journal of business in society&lt;/full-title&gt;&lt;/periodical&gt;&lt;pages&gt;4-12&lt;/pages&gt;&lt;volume&gt;2&lt;/volume&gt;&lt;number&gt;2&lt;/number&gt;&lt;dates&gt;&lt;year&gt;2002&lt;/year&gt;&lt;/dates&gt;&lt;isbn&gt;1472-0701&lt;/isbn&gt;&lt;urls&gt;&lt;/urls&gt;&lt;/record&gt;&lt;/Cite&gt;&lt;/EndNote&gt;</w:instrText>
      </w:r>
      <w:r w:rsidR="00886B05" w:rsidRPr="00190862">
        <w:rPr>
          <w:rFonts w:ascii="Times New Roman" w:hAnsi="Times New Roman" w:cs="Times New Roman"/>
          <w:szCs w:val="20"/>
        </w:rPr>
        <w:fldChar w:fldCharType="separate"/>
      </w:r>
      <w:hyperlink w:anchor="_ENREF_31" w:tooltip="Parker, 2002 #118" w:history="1">
        <w:r w:rsidR="007852F2">
          <w:rPr>
            <w:rFonts w:ascii="Times New Roman" w:hAnsi="Times New Roman" w:cs="Times New Roman"/>
            <w:noProof/>
            <w:szCs w:val="20"/>
          </w:rPr>
          <w:t>Parker et al.</w:t>
        </w:r>
        <w:r w:rsidR="00710C45" w:rsidRPr="00190862">
          <w:rPr>
            <w:rFonts w:ascii="Times New Roman" w:hAnsi="Times New Roman" w:cs="Times New Roman"/>
            <w:noProof/>
            <w:szCs w:val="20"/>
          </w:rPr>
          <w:t xml:space="preserve"> (2002</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&lt;EndNote&gt;&lt;Cite&gt;&lt;Author&gt;Uhrig-Homburg&lt;/Author&gt;&lt;Year&gt;2005&lt;/Year&gt;&lt;RecNum&gt;119&lt;/RecNum&gt;&lt;DisplayText&gt;Uhrig-Homburg (2005)&lt;/DisplayText&gt;&lt;record&gt;&lt;rec-number&gt;119&lt;/rec-number&gt;&lt;foreign-keys&gt;&lt;key app="EN" db-id="0w9rezxppe2pzrezf0lpzvz3rp29t2ds5e5t"&gt;119&lt;/key&gt;&lt;/foreign-keys&gt;&lt;ref-type name="Journal Article"&gt;17&lt;/ref-type&gt;&lt;contributors&gt;&lt;authors&gt;&lt;author&gt;Uhrig-Homburg, Marliese&lt;/author&gt;&lt;/authors&gt;&lt;/contributors&gt;&lt;titles&gt;&lt;title&gt;Cash-flow shortage as an endogenous bankruptcy reason&lt;/title&gt;&lt;secondary-title&gt;Journal of Banking &amp;amp; Finance&lt;/secondary-title&gt;&lt;/titles&gt;&lt;periodical&gt;&lt;full-title&gt;Journal of Banking &amp;amp; Finance&lt;/full-title&gt;&lt;/periodical&gt;&lt;pages&gt;1509-1534&lt;/pages&gt;&lt;volume&gt;29&lt;/volume&gt;&lt;number&gt;6&lt;/number&gt;&lt;dates&gt;&lt;year&gt;2005&lt;/year&gt;&lt;/dates&gt;&lt;isbn&gt;0378-4266&lt;/isbn&gt;&lt;urls&gt;&lt;/urls&gt;&lt;/record&gt;&lt;/Cite&gt;&lt;/EndNote&gt;</w:instrText>
      </w:r>
      <w:r w:rsidR="00886B05" w:rsidRPr="00190862">
        <w:rPr>
          <w:rFonts w:ascii="Times New Roman" w:hAnsi="Times New Roman" w:cs="Times New Roman"/>
          <w:szCs w:val="20"/>
        </w:rPr>
        <w:fldChar w:fldCharType="separate"/>
      </w:r>
      <w:hyperlink w:anchor="_ENREF_35" w:tooltip="Uhrig-Homburg, 2005 #119" w:history="1">
        <w:r w:rsidR="00710C45" w:rsidRPr="00190862">
          <w:rPr>
            <w:rFonts w:ascii="Times New Roman" w:hAnsi="Times New Roman" w:cs="Times New Roman"/>
            <w:noProof/>
            <w:szCs w:val="20"/>
          </w:rPr>
          <w:t>Uhrig-Homburg (2005</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&lt;EndNote&gt;&lt;Cite&gt;&lt;Author&gt;Campbell&lt;/Author&gt;&lt;Year&gt;2008&lt;/Year&gt;&lt;RecNum&gt;120&lt;/RecNum&gt;&lt;DisplayText&gt;Campbell, Hilscher and Szilagyi (2008)&lt;/DisplayText&gt;&lt;record&gt;&lt;rec-number&gt;120&lt;/rec-number&gt;&lt;foreign-keys&gt;&lt;key app="EN" db-id="0w9rezxppe2pzrezf0lpzvz3rp29t2ds5e5t"&gt;120&lt;/key&gt;&lt;/foreign-keys&gt;&lt;ref-type name="Journal Article"&gt;17&lt;/ref-type&gt;&lt;contributors&gt;&lt;authors&gt;&lt;author&gt;Campbell, John Y&lt;/author&gt;&lt;author&gt;Hilscher, Jens&lt;/author&gt;&lt;author&gt;Szilagyi, Jan&lt;/author&gt;&lt;/authors&gt;&lt;/contributors&gt;&lt;titles&gt;&lt;title&gt;In search of distress risk&lt;/title&gt;&lt;secondary-title&gt;The Journal of Finance&lt;/secondary-title&gt;&lt;/titles&gt;&lt;periodical&gt;&lt;full-title&gt;The Journal of Finance&lt;/full-title&gt;&lt;/periodical&gt;&lt;pages&gt;2899-2939&lt;/pages&gt;&lt;volume&gt;63&lt;/volume&gt;&lt;number&gt;6&lt;/number&gt;&lt;dates&gt;&lt;year&gt;2008&lt;/year&gt;&lt;/dates&gt;&lt;isbn&gt;1540-6261&lt;/isbn&gt;&lt;urls&gt;&lt;/urls&gt;&lt;/record&gt;&lt;/Cite&gt;&lt;/EndNote&gt;</w:instrText>
      </w:r>
      <w:r w:rsidR="00886B05" w:rsidRPr="00190862">
        <w:rPr>
          <w:rFonts w:ascii="Times New Roman" w:hAnsi="Times New Roman" w:cs="Times New Roman"/>
          <w:szCs w:val="20"/>
        </w:rPr>
        <w:fldChar w:fldCharType="separate"/>
      </w:r>
      <w:hyperlink w:anchor="_ENREF_12" w:tooltip="Campbell, 2008 #120" w:history="1">
        <w:r w:rsidR="007852F2">
          <w:rPr>
            <w:rFonts w:ascii="Times New Roman" w:hAnsi="Times New Roman" w:cs="Times New Roman"/>
            <w:noProof/>
            <w:szCs w:val="20"/>
          </w:rPr>
          <w:t xml:space="preserve">Campbell et al. </w:t>
        </w:r>
        <w:r w:rsidR="00710C45" w:rsidRPr="00190862">
          <w:rPr>
            <w:rFonts w:ascii="Times New Roman" w:hAnsi="Times New Roman" w:cs="Times New Roman"/>
            <w:noProof/>
            <w:szCs w:val="20"/>
          </w:rPr>
          <w:t>(2008</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 xml:space="preserve">, </w:t>
      </w:r>
      <w:r w:rsidR="00886B05" w:rsidRPr="00190862">
        <w:rPr>
          <w:rFonts w:ascii="Times New Roman" w:hAnsi="Times New Roman" w:cs="Times New Roman"/>
          <w:szCs w:val="20"/>
        </w:rPr>
        <w:fldChar w:fldCharType="begin"/>
      </w:r>
      <w:r w:rsidRPr="00190862">
        <w:rPr>
          <w:rFonts w:ascii="Times New Roman" w:hAnsi="Times New Roman" w:cs="Times New Roman"/>
          <w:szCs w:val="20"/>
        </w:rPr>
        <w:instrText xml:space="preserve"> ADDIN EN.CITE &lt;EndNote&gt;&lt;Cite&gt;&lt;Author&gt;Eberhart&lt;/Author&gt;&lt;Year&gt;2008&lt;/Year&gt;&lt;RecNum&gt;121&lt;/RecNum&gt;&lt;DisplayText&gt;Eberhart, Maxwell and Siddique (2008)&lt;/DisplayText&gt;&lt;record&gt;&lt;rec-number&gt;121&lt;/rec-number&gt;&lt;foreign-keys&gt;&lt;key app="EN" db-id="0w9rezxppe2pzrezf0lpzvz3rp29t2ds5e5t"&gt;121&lt;/key&gt;&lt;/foreign-keys&gt;&lt;ref-type name="Journal Article"&gt;17&lt;/ref-type&gt;&lt;contributors&gt;&lt;authors&gt;&lt;author&gt;Eberhart, Allan&lt;/author&gt;&lt;author&gt;Maxwell, William&lt;/author&gt;&lt;author&gt;Siddique, Akhtar&lt;/author&gt;&lt;/authors&gt;&lt;/contributors&gt;&lt;titles&gt;&lt;title&gt;A Reexamination of the Tradeoff between the Future Benefit and Riskiness of R&amp;amp;D Increases&lt;/title&gt;&lt;secondary-title&gt;Journal of Accounting Research&lt;/secondary-title&gt;&lt;/titles&gt;&lt;periodical&gt;&lt;full-title&gt;Journal of accounting research&lt;/full-title&gt;&lt;/periodical&gt;&lt;pages&gt;27-52&lt;/pages&gt;&lt;volume&gt;46&lt;/volume&gt;&lt;number&gt;1&lt;/number&gt;&lt;dates&gt;&lt;year&gt;2008&lt;/year&gt;&lt;/dates&gt;&lt;isbn&gt;1475-679X&lt;/isbn&gt;&lt;urls&gt;&lt;/urls&gt;&lt;/record&gt;&lt;/Cite&gt;&lt;/EndNote&gt;</w:instrText>
      </w:r>
      <w:r w:rsidR="00886B05" w:rsidRPr="00190862">
        <w:rPr>
          <w:rFonts w:ascii="Times New Roman" w:hAnsi="Times New Roman" w:cs="Times New Roman"/>
          <w:szCs w:val="20"/>
        </w:rPr>
        <w:fldChar w:fldCharType="separate"/>
      </w:r>
      <w:hyperlink w:anchor="_ENREF_16" w:tooltip="Eberhart, 2008 #121" w:history="1">
        <w:r w:rsidR="00710C45" w:rsidRPr="00190862">
          <w:rPr>
            <w:rFonts w:ascii="Times New Roman" w:hAnsi="Times New Roman" w:cs="Times New Roman"/>
            <w:noProof/>
            <w:szCs w:val="20"/>
          </w:rPr>
          <w:t>Eberhart</w:t>
        </w:r>
        <w:r w:rsidR="007852F2">
          <w:rPr>
            <w:rFonts w:ascii="Times New Roman" w:hAnsi="Times New Roman" w:cs="Times New Roman"/>
            <w:noProof/>
            <w:szCs w:val="20"/>
          </w:rPr>
          <w:t xml:space="preserve"> et al.</w:t>
        </w:r>
        <w:r w:rsidR="00710C45" w:rsidRPr="00190862">
          <w:rPr>
            <w:rFonts w:ascii="Times New Roman" w:hAnsi="Times New Roman" w:cs="Times New Roman"/>
            <w:noProof/>
            <w:szCs w:val="20"/>
          </w:rPr>
          <w:t xml:space="preserve"> (2008</w:t>
        </w:r>
      </w:hyperlink>
      <w:r w:rsidRPr="00190862">
        <w:rPr>
          <w:rFonts w:ascii="Times New Roman" w:hAnsi="Times New Roman" w:cs="Times New Roman"/>
          <w:noProof/>
          <w:szCs w:val="20"/>
        </w:rPr>
        <w:t>)</w:t>
      </w:r>
      <w:r w:rsidR="00886B05" w:rsidRPr="00190862">
        <w:rPr>
          <w:rFonts w:ascii="Times New Roman" w:hAnsi="Times New Roman" w:cs="Times New Roman"/>
          <w:szCs w:val="20"/>
        </w:rPr>
        <w:fldChar w:fldCharType="end"/>
      </w:r>
      <w:r w:rsidRPr="00190862">
        <w:rPr>
          <w:rFonts w:ascii="Times New Roman" w:hAnsi="Times New Roman" w:cs="Times New Roman"/>
          <w:szCs w:val="20"/>
        </w:rPr>
        <w:t>,</w:t>
      </w:r>
      <w:r w:rsidRPr="00190862">
        <w:rPr>
          <w:rFonts w:ascii="Times New Roman" w:hAnsi="Times New Roman" w:cs="Times New Roman"/>
          <w:i/>
          <w:szCs w:val="20"/>
        </w:rPr>
        <w:t xml:space="preserve"> etc.</w:t>
      </w:r>
      <w:r w:rsidRPr="00190862">
        <w:rPr>
          <w:rFonts w:ascii="Times New Roman" w:hAnsi="Times New Roman" w:cs="Times New Roman"/>
          <w:szCs w:val="20"/>
        </w:rPr>
        <w:t xml:space="preserve">). More specifically, we control for the general industry wide competition intensity using the </w:t>
      </w:r>
      <w:proofErr w:type="spellStart"/>
      <w:r w:rsidRPr="00190862">
        <w:rPr>
          <w:rFonts w:ascii="Times New Roman" w:hAnsi="Times New Roman" w:cs="Times New Roman"/>
          <w:szCs w:val="20"/>
        </w:rPr>
        <w:t>Herfindahl</w:t>
      </w:r>
      <w:proofErr w:type="spellEnd"/>
      <w:r w:rsidRPr="00190862">
        <w:rPr>
          <w:rFonts w:ascii="Times New Roman" w:hAnsi="Times New Roman" w:cs="Times New Roman"/>
          <w:szCs w:val="20"/>
        </w:rPr>
        <w:t>-Hirschman Index (HHI) based on all firms (both member firms and non-member firms) in the same industry. HHI is calculated as the sum of the squared fractions of all individual firms’ market share within the same 4-digit K-SIC industry. In addition, we control for firm size (log sales (unit: million KRW)), leverage (total liability over book value of equity), profitability (net income over total assets), R&amp;D intensity (R&amp;D expense over total assets) and risk free rate.</w:t>
      </w:r>
    </w:p>
    <w:p w:rsidR="00BD72E1" w:rsidRPr="00190862" w:rsidRDefault="00BD72E1" w:rsidP="00190862">
      <w:pPr>
        <w:spacing w:line="420" w:lineRule="auto"/>
        <w:ind w:firstLineChars="100" w:firstLine="200"/>
        <w:contextualSpacing/>
        <w:rPr>
          <w:rFonts w:ascii="Times New Roman" w:hAnsi="Times New Roman" w:cs="Times New Roman"/>
          <w:szCs w:val="20"/>
        </w:rPr>
      </w:pPr>
    </w:p>
    <w:p w:rsidR="00B50611" w:rsidRPr="00190862" w:rsidRDefault="00190862" w:rsidP="00190862">
      <w:pPr>
        <w:spacing w:line="420" w:lineRule="auto"/>
        <w:contextualSpacing/>
        <w:rPr>
          <w:rFonts w:ascii="Times New Roman" w:hAnsi="Times New Roman" w:cs="Times New Roman"/>
          <w:sz w:val="26"/>
          <w:szCs w:val="26"/>
        </w:rPr>
      </w:pPr>
      <w:r w:rsidRPr="00190862">
        <w:rPr>
          <w:rFonts w:ascii="Times New Roman" w:hAnsi="Times New Roman" w:cs="Times New Roman"/>
          <w:sz w:val="26"/>
          <w:szCs w:val="26"/>
        </w:rPr>
        <w:t>2.</w:t>
      </w:r>
      <w:r w:rsidR="00B50611" w:rsidRPr="00190862">
        <w:rPr>
          <w:rFonts w:ascii="Times New Roman" w:hAnsi="Times New Roman" w:cs="Times New Roman"/>
          <w:sz w:val="26"/>
          <w:szCs w:val="26"/>
        </w:rPr>
        <w:t xml:space="preserve"> Empirical strategy</w:t>
      </w:r>
    </w:p>
    <w:p w:rsidR="00B50611" w:rsidRPr="00190862" w:rsidRDefault="00B50611" w:rsidP="00190862">
      <w:pPr>
        <w:spacing w:line="420" w:lineRule="auto"/>
        <w:ind w:firstLineChars="100" w:firstLine="200"/>
        <w:contextualSpacing/>
        <w:rPr>
          <w:rFonts w:ascii="Times New Roman" w:hAnsi="Times New Roman" w:cs="Times New Roman"/>
          <w:szCs w:val="20"/>
        </w:rPr>
      </w:pPr>
      <w:r w:rsidRPr="00190862">
        <w:rPr>
          <w:rFonts w:ascii="Times New Roman" w:hAnsi="Times New Roman" w:cs="Times New Roman"/>
          <w:szCs w:val="20"/>
        </w:rPr>
        <w:t>In order to examine the effect of industry wide business group on firms’ financial distress risk, we estimate the following regressions at firm level (taking non-member firm as an example):</w:t>
      </w:r>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8478"/>
        <w:gridCol w:w="746"/>
      </w:tblGrid>
      <w:tr w:rsidR="00B50611" w:rsidRPr="00190862" w:rsidTr="00F73808">
        <w:tc>
          <w:tcPr>
            <w:tcW w:w="8478" w:type="dxa"/>
            <w:vAlign w:val="center"/>
          </w:tcPr>
          <w:p w:rsidR="00B50611" w:rsidRPr="00190862" w:rsidRDefault="00886B05" w:rsidP="00190862">
            <w:pPr>
              <w:spacing w:line="420" w:lineRule="auto"/>
              <w:contextualSpacing/>
              <w:jc w:val="center"/>
              <w:rPr>
                <w:rFonts w:ascii="Times New Roman" w:hAnsi="Times New Roman" w:cs="Times New Roman"/>
                <w:szCs w:val="20"/>
              </w:rPr>
            </w:pPr>
            <m:oMathPara>
              <m:oMath>
                <m:sSub>
                  <m:sSubPr>
                    <m:ctrlPr>
                      <w:rPr>
                        <w:rFonts w:ascii="Cambria Math" w:hAnsi="Cambria Math" w:cs="Times New Roman"/>
                        <w:i/>
                        <w:szCs w:val="20"/>
                      </w:rPr>
                    </m:ctrlPr>
                  </m:sSubPr>
                  <m:e>
                    <m:r>
                      <w:rPr>
                        <w:rFonts w:ascii="Cambria Math" w:hAnsi="Cambria Math" w:cs="Times New Roman"/>
                        <w:szCs w:val="20"/>
                      </w:rPr>
                      <m:t>DRM</m:t>
                    </m:r>
                  </m:e>
                  <m:sub>
                    <m:r>
                      <w:rPr>
                        <w:rFonts w:ascii="Cambria Math" w:hAnsi="Cambria Math" w:cs="Times New Roman"/>
                        <w:szCs w:val="20"/>
                      </w:rPr>
                      <m:t>i,t</m:t>
                    </m:r>
                  </m:sub>
                </m:sSub>
                <m:r>
                  <w:rPr>
                    <w:rFonts w:ascii="Cambria Math" w:hAnsi="Cambria Math" w:cs="Times New Roman"/>
                    <w:szCs w:val="20"/>
                  </w:rPr>
                  <m:t>=a+b*</m:t>
                </m:r>
                <m:sSub>
                  <m:sSubPr>
                    <m:ctrlPr>
                      <w:rPr>
                        <w:rFonts w:ascii="Cambria Math" w:hAnsi="Cambria Math" w:cs="Times New Roman"/>
                        <w:i/>
                        <w:szCs w:val="20"/>
                      </w:rPr>
                    </m:ctrlPr>
                  </m:sSubPr>
                  <m:e>
                    <m:r>
                      <w:rPr>
                        <w:rFonts w:ascii="Cambria Math" w:hAnsi="Cambria Math" w:cs="Times New Roman"/>
                        <w:szCs w:val="20"/>
                      </w:rPr>
                      <m:t>BSDI</m:t>
                    </m:r>
                  </m:e>
                  <m:sub>
                    <m:r>
                      <w:rPr>
                        <w:rFonts w:ascii="Cambria Math" w:hAnsi="Cambria Math" w:cs="Times New Roman"/>
                        <w:szCs w:val="20"/>
                      </w:rPr>
                      <m:t>i,t</m:t>
                    </m:r>
                  </m:sub>
                </m:sSub>
                <m:r>
                  <w:rPr>
                    <w:rFonts w:ascii="Cambria Math" w:hAnsi="Cambria Math" w:cs="Times New Roman"/>
                    <w:szCs w:val="20"/>
                  </w:rPr>
                  <m:t>+</m:t>
                </m:r>
                <m:sSup>
                  <m:sSupPr>
                    <m:ctrlPr>
                      <w:rPr>
                        <w:rFonts w:ascii="Cambria Math" w:hAnsi="Cambria Math" w:cs="Times New Roman"/>
                        <w:i/>
                        <w:szCs w:val="20"/>
                      </w:rPr>
                    </m:ctrlPr>
                  </m:sSupPr>
                  <m:e>
                    <m:r>
                      <w:rPr>
                        <w:rFonts w:ascii="Cambria Math" w:hAnsi="Cambria Math" w:cs="Times New Roman"/>
                        <w:szCs w:val="20"/>
                      </w:rPr>
                      <m:t>γ</m:t>
                    </m:r>
                  </m:e>
                  <m:sup>
                    <m:r>
                      <w:rPr>
                        <w:rFonts w:ascii="Cambria Math" w:hAnsi="Cambria Math" w:cs="Times New Roman"/>
                        <w:szCs w:val="20"/>
                      </w:rPr>
                      <m:t>'</m:t>
                    </m:r>
                  </m:sup>
                </m:sSup>
                <m:sSub>
                  <m:sSubPr>
                    <m:ctrlPr>
                      <w:rPr>
                        <w:rFonts w:ascii="Cambria Math" w:hAnsi="Cambria Math" w:cs="Times New Roman"/>
                        <w:i/>
                        <w:szCs w:val="20"/>
                      </w:rPr>
                    </m:ctrlPr>
                  </m:sSubPr>
                  <m:e>
                    <m:r>
                      <w:rPr>
                        <w:rFonts w:ascii="Cambria Math" w:hAnsi="Cambria Math" w:cs="Times New Roman"/>
                        <w:szCs w:val="20"/>
                      </w:rPr>
                      <m:t>X</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δ</m:t>
                    </m:r>
                  </m:e>
                  <m:sub>
                    <m:r>
                      <w:rPr>
                        <w:rFonts w:ascii="Cambria Math" w:hAnsi="Cambria Math" w:cs="Times New Roman"/>
                        <w:szCs w:val="20"/>
                      </w:rPr>
                      <m:t>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μ</m:t>
                    </m:r>
                  </m:e>
                  <m:sub>
                    <m:r>
                      <w:rPr>
                        <w:rFonts w:ascii="Cambria Math" w:hAnsi="Cambria Math" w:cs="Times New Roman"/>
                        <w:szCs w:val="20"/>
                      </w:rPr>
                      <m:t>i</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ε</m:t>
                    </m:r>
                  </m:e>
                  <m:sub>
                    <m:r>
                      <w:rPr>
                        <w:rFonts w:ascii="Cambria Math" w:hAnsi="Cambria Math" w:cs="Times New Roman"/>
                        <w:szCs w:val="20"/>
                      </w:rPr>
                      <m:t>i,t</m:t>
                    </m:r>
                  </m:sub>
                </m:sSub>
              </m:oMath>
            </m:oMathPara>
          </w:p>
        </w:tc>
        <w:tc>
          <w:tcPr>
            <w:tcW w:w="746" w:type="dxa"/>
            <w:vAlign w:val="center"/>
          </w:tcPr>
          <w:p w:rsidR="00B50611" w:rsidRPr="00190862" w:rsidRDefault="00B50611" w:rsidP="00190862">
            <w:pPr>
              <w:spacing w:line="420" w:lineRule="auto"/>
              <w:contextualSpacing/>
              <w:jc w:val="center"/>
              <w:rPr>
                <w:rFonts w:ascii="Times New Roman" w:hAnsi="Times New Roman" w:cs="Times New Roman"/>
                <w:szCs w:val="20"/>
              </w:rPr>
            </w:pPr>
            <w:r w:rsidRPr="00190862">
              <w:rPr>
                <w:rFonts w:ascii="Times New Roman" w:hAnsi="Times New Roman" w:cs="Times New Roman"/>
                <w:szCs w:val="20"/>
              </w:rPr>
              <w:t>(4)</w:t>
            </w:r>
          </w:p>
        </w:tc>
      </w:tr>
    </w:tbl>
    <w:p w:rsidR="00B50611" w:rsidRPr="00190862" w:rsidRDefault="00B50611" w:rsidP="00190862">
      <w:pPr>
        <w:spacing w:line="420" w:lineRule="auto"/>
        <w:contextualSpacing/>
        <w:rPr>
          <w:rFonts w:ascii="Times New Roman" w:hAnsi="Times New Roman" w:cs="Times New Roman"/>
          <w:szCs w:val="20"/>
        </w:rPr>
      </w:pPr>
      <w:proofErr w:type="gramStart"/>
      <w:r w:rsidRPr="00190862">
        <w:rPr>
          <w:rFonts w:ascii="Times New Roman" w:hAnsi="Times New Roman" w:cs="Times New Roman"/>
          <w:szCs w:val="20"/>
        </w:rPr>
        <w:t>and</w:t>
      </w:r>
      <w:proofErr w:type="gramEnd"/>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8478"/>
        <w:gridCol w:w="746"/>
      </w:tblGrid>
      <w:tr w:rsidR="00B50611" w:rsidRPr="00190862" w:rsidTr="00F73808">
        <w:tc>
          <w:tcPr>
            <w:tcW w:w="8478" w:type="dxa"/>
            <w:vAlign w:val="center"/>
          </w:tcPr>
          <w:p w:rsidR="00B50611" w:rsidRPr="00190862" w:rsidRDefault="00886B05" w:rsidP="00190862">
            <w:pPr>
              <w:spacing w:line="420" w:lineRule="auto"/>
              <w:contextualSpacing/>
              <w:jc w:val="center"/>
              <w:rPr>
                <w:rFonts w:ascii="Times New Roman" w:hAnsi="Times New Roman" w:cs="Times New Roman"/>
                <w:szCs w:val="20"/>
              </w:rPr>
            </w:pPr>
            <m:oMathPara>
              <m:oMath>
                <m:sSub>
                  <m:sSubPr>
                    <m:ctrlPr>
                      <w:rPr>
                        <w:rFonts w:ascii="Cambria Math" w:hAnsi="Cambria Math" w:cs="Times New Roman"/>
                        <w:i/>
                        <w:szCs w:val="20"/>
                      </w:rPr>
                    </m:ctrlPr>
                  </m:sSubPr>
                  <m:e>
                    <m:r>
                      <w:rPr>
                        <w:rFonts w:ascii="Cambria Math" w:hAnsi="Cambria Math" w:cs="Times New Roman"/>
                        <w:szCs w:val="20"/>
                      </w:rPr>
                      <m:t>DRM</m:t>
                    </m:r>
                  </m:e>
                  <m:sub>
                    <m:r>
                      <w:rPr>
                        <w:rFonts w:ascii="Cambria Math" w:hAnsi="Cambria Math" w:cs="Times New Roman"/>
                        <w:szCs w:val="20"/>
                      </w:rPr>
                      <m:t>i,t</m:t>
                    </m:r>
                  </m:sub>
                </m:sSub>
                <m:r>
                  <w:rPr>
                    <w:rFonts w:ascii="Cambria Math" w:hAnsi="Cambria Math" w:cs="Times New Roman"/>
                    <w:szCs w:val="20"/>
                  </w:rPr>
                  <m:t>=a+c*</m:t>
                </m:r>
                <m:sSub>
                  <m:sSubPr>
                    <m:ctrlPr>
                      <w:rPr>
                        <w:rFonts w:ascii="Cambria Math" w:hAnsi="Cambria Math" w:cs="Times New Roman"/>
                        <w:i/>
                        <w:szCs w:val="20"/>
                      </w:rPr>
                    </m:ctrlPr>
                  </m:sSubPr>
                  <m:e>
                    <m:r>
                      <w:rPr>
                        <w:rFonts w:ascii="Cambria Math" w:hAnsi="Cambria Math" w:cs="Times New Roman"/>
                        <w:szCs w:val="20"/>
                      </w:rPr>
                      <m:t>BG MKT Share</m:t>
                    </m:r>
                  </m:e>
                  <m:sub>
                    <m:r>
                      <w:rPr>
                        <w:rFonts w:ascii="Cambria Math" w:hAnsi="Cambria Math" w:cs="Times New Roman"/>
                        <w:szCs w:val="20"/>
                      </w:rPr>
                      <m:t>i,t</m:t>
                    </m:r>
                  </m:sub>
                </m:sSub>
                <m:r>
                  <w:rPr>
                    <w:rFonts w:ascii="Cambria Math" w:hAnsi="Cambria Math" w:cs="Times New Roman"/>
                    <w:szCs w:val="20"/>
                  </w:rPr>
                  <m:t>+d*</m:t>
                </m:r>
                <m:sSub>
                  <m:sSubPr>
                    <m:ctrlPr>
                      <w:rPr>
                        <w:rFonts w:ascii="Cambria Math" w:hAnsi="Cambria Math" w:cs="Times New Roman"/>
                        <w:i/>
                        <w:szCs w:val="20"/>
                      </w:rPr>
                    </m:ctrlPr>
                  </m:sSubPr>
                  <m:e>
                    <m:r>
                      <w:rPr>
                        <w:rFonts w:ascii="Cambria Math" w:hAnsi="Cambria Math" w:cs="Times New Roman"/>
                        <w:szCs w:val="20"/>
                      </w:rPr>
                      <m:t>ICM Size</m:t>
                    </m:r>
                  </m:e>
                  <m:sub>
                    <m:r>
                      <w:rPr>
                        <w:rFonts w:ascii="Cambria Math" w:hAnsi="Cambria Math" w:cs="Times New Roman"/>
                        <w:szCs w:val="20"/>
                      </w:rPr>
                      <m:t>i,t</m:t>
                    </m:r>
                  </m:sub>
                </m:sSub>
                <m:r>
                  <w:rPr>
                    <w:rFonts w:ascii="Cambria Math" w:hAnsi="Cambria Math" w:cs="Times New Roman"/>
                    <w:szCs w:val="20"/>
                  </w:rPr>
                  <m:t>+</m:t>
                </m:r>
                <m:sSup>
                  <m:sSupPr>
                    <m:ctrlPr>
                      <w:rPr>
                        <w:rFonts w:ascii="Cambria Math" w:hAnsi="Cambria Math" w:cs="Times New Roman"/>
                        <w:i/>
                        <w:szCs w:val="20"/>
                      </w:rPr>
                    </m:ctrlPr>
                  </m:sSupPr>
                  <m:e>
                    <m:r>
                      <w:rPr>
                        <w:rFonts w:ascii="Cambria Math" w:hAnsi="Cambria Math" w:cs="Times New Roman"/>
                        <w:szCs w:val="20"/>
                      </w:rPr>
                      <m:t>γ</m:t>
                    </m:r>
                  </m:e>
                  <m:sup>
                    <m:r>
                      <w:rPr>
                        <w:rFonts w:ascii="Cambria Math" w:hAnsi="Cambria Math" w:cs="Times New Roman"/>
                        <w:szCs w:val="20"/>
                      </w:rPr>
                      <m:t>'</m:t>
                    </m:r>
                  </m:sup>
                </m:sSup>
                <m:sSub>
                  <m:sSubPr>
                    <m:ctrlPr>
                      <w:rPr>
                        <w:rFonts w:ascii="Cambria Math" w:hAnsi="Cambria Math" w:cs="Times New Roman"/>
                        <w:i/>
                        <w:szCs w:val="20"/>
                      </w:rPr>
                    </m:ctrlPr>
                  </m:sSubPr>
                  <m:e>
                    <m:r>
                      <w:rPr>
                        <w:rFonts w:ascii="Cambria Math" w:hAnsi="Cambria Math" w:cs="Times New Roman"/>
                        <w:szCs w:val="20"/>
                      </w:rPr>
                      <m:t>X</m:t>
                    </m:r>
                  </m:e>
                  <m:sub>
                    <m:r>
                      <w:rPr>
                        <w:rFonts w:ascii="Cambria Math" w:hAnsi="Cambria Math" w:cs="Times New Roman"/>
                        <w:szCs w:val="20"/>
                      </w:rPr>
                      <m:t>i,t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δ</m:t>
                    </m:r>
                  </m:e>
                  <m:sub>
                    <m:r>
                      <w:rPr>
                        <w:rFonts w:ascii="Cambria Math" w:hAnsi="Cambria Math" w:cs="Times New Roman"/>
                        <w:szCs w:val="20"/>
                      </w:rPr>
                      <m:t>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μ</m:t>
                    </m:r>
                  </m:e>
                  <m:sub>
                    <m:r>
                      <w:rPr>
                        <w:rFonts w:ascii="Cambria Math" w:hAnsi="Cambria Math" w:cs="Times New Roman"/>
                        <w:szCs w:val="20"/>
                      </w:rPr>
                      <m:t>i</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ε</m:t>
                    </m:r>
                  </m:e>
                  <m:sub>
                    <m:r>
                      <w:rPr>
                        <w:rFonts w:ascii="Cambria Math" w:hAnsi="Cambria Math" w:cs="Times New Roman"/>
                        <w:szCs w:val="20"/>
                      </w:rPr>
                      <m:t>i,t</m:t>
                    </m:r>
                  </m:sub>
                </m:sSub>
              </m:oMath>
            </m:oMathPara>
          </w:p>
        </w:tc>
        <w:tc>
          <w:tcPr>
            <w:tcW w:w="746" w:type="dxa"/>
            <w:vAlign w:val="center"/>
          </w:tcPr>
          <w:p w:rsidR="00B50611" w:rsidRPr="00190862" w:rsidRDefault="00B50611" w:rsidP="00190862">
            <w:pPr>
              <w:spacing w:line="420" w:lineRule="auto"/>
              <w:contextualSpacing/>
              <w:jc w:val="center"/>
              <w:rPr>
                <w:rFonts w:ascii="Times New Roman" w:hAnsi="Times New Roman" w:cs="Times New Roman"/>
                <w:szCs w:val="20"/>
              </w:rPr>
            </w:pPr>
            <w:r w:rsidRPr="00190862">
              <w:rPr>
                <w:rFonts w:ascii="Times New Roman" w:hAnsi="Times New Roman" w:cs="Times New Roman"/>
                <w:szCs w:val="20"/>
              </w:rPr>
              <w:t>(5)</w:t>
            </w:r>
          </w:p>
        </w:tc>
      </w:tr>
    </w:tbl>
    <w:p w:rsidR="00B50611" w:rsidRDefault="00B50611" w:rsidP="00190862">
      <w:pPr>
        <w:spacing w:line="420" w:lineRule="auto"/>
        <w:contextualSpacing/>
        <w:rPr>
          <w:rFonts w:ascii="Times New Roman" w:hAnsi="Times New Roman" w:cs="Times New Roman"/>
          <w:szCs w:val="20"/>
        </w:rPr>
      </w:pPr>
      <w:r w:rsidRPr="00190862">
        <w:rPr>
          <w:rFonts w:ascii="Times New Roman" w:hAnsi="Times New Roman" w:cs="Times New Roman"/>
          <w:szCs w:val="20"/>
        </w:rPr>
        <w:t xml:space="preserve">, where </w:t>
      </w:r>
      <m:oMath>
        <m:sSub>
          <m:sSubPr>
            <m:ctrlPr>
              <w:rPr>
                <w:rFonts w:ascii="Cambria Math" w:hAnsi="Cambria Math" w:cs="Times New Roman"/>
                <w:i/>
                <w:szCs w:val="20"/>
              </w:rPr>
            </m:ctrlPr>
          </m:sSubPr>
          <m:e>
            <m:r>
              <w:rPr>
                <w:rFonts w:ascii="Cambria Math" w:hAnsi="Cambria Math" w:cs="Times New Roman"/>
                <w:szCs w:val="20"/>
              </w:rPr>
              <m:t>DRM</m:t>
            </m:r>
          </m:e>
          <m:sub>
            <m:r>
              <w:rPr>
                <w:rFonts w:ascii="Cambria Math" w:hAnsi="Cambria Math" w:cs="Times New Roman"/>
                <w:szCs w:val="20"/>
              </w:rPr>
              <m:t>i,t</m:t>
            </m:r>
          </m:sub>
        </m:sSub>
      </m:oMath>
      <w:r w:rsidRPr="00190862">
        <w:rPr>
          <w:rFonts w:ascii="Times New Roman" w:hAnsi="Times New Roman" w:cs="Times New Roman"/>
          <w:szCs w:val="20"/>
        </w:rPr>
        <w:t xml:space="preserve"> is the financial distress risk measure for non-member firm </w:t>
      </w:r>
      <w:proofErr w:type="spellStart"/>
      <w:r w:rsidRPr="00190862">
        <w:rPr>
          <w:rFonts w:ascii="Times New Roman" w:hAnsi="Times New Roman" w:cs="Times New Roman"/>
          <w:szCs w:val="20"/>
        </w:rPr>
        <w:t>i</w:t>
      </w:r>
      <w:proofErr w:type="spellEnd"/>
      <w:r w:rsidRPr="00190862">
        <w:rPr>
          <w:rFonts w:ascii="Times New Roman" w:hAnsi="Times New Roman" w:cs="Times New Roman"/>
          <w:szCs w:val="20"/>
        </w:rPr>
        <w:t xml:space="preserve"> at year t, </w:t>
      </w:r>
      <w:proofErr w:type="spellStart"/>
      <w:r w:rsidRPr="00190862">
        <w:rPr>
          <w:rFonts w:ascii="Times New Roman" w:hAnsi="Times New Roman" w:cs="Times New Roman"/>
          <w:szCs w:val="20"/>
        </w:rPr>
        <w:t>proxied</w:t>
      </w:r>
      <w:proofErr w:type="spellEnd"/>
      <w:r w:rsidRPr="00190862">
        <w:rPr>
          <w:rFonts w:ascii="Times New Roman" w:hAnsi="Times New Roman" w:cs="Times New Roman"/>
          <w:szCs w:val="20"/>
        </w:rPr>
        <w:t xml:space="preserve"> by KM-score or KL-score. </w:t>
      </w:r>
      <m:oMath>
        <m:sSub>
          <m:sSubPr>
            <m:ctrlPr>
              <w:rPr>
                <w:rFonts w:ascii="Cambria Math" w:hAnsi="Cambria Math" w:cs="Times New Roman"/>
                <w:i/>
                <w:szCs w:val="20"/>
              </w:rPr>
            </m:ctrlPr>
          </m:sSubPr>
          <m:e>
            <m:r>
              <w:rPr>
                <w:rFonts w:ascii="Cambria Math" w:hAnsi="Cambria Math" w:cs="Times New Roman"/>
                <w:szCs w:val="20"/>
              </w:rPr>
              <m:t>δ</m:t>
            </m:r>
          </m:e>
          <m:sub>
            <m:r>
              <w:rPr>
                <w:rFonts w:ascii="Cambria Math" w:hAnsi="Cambria Math" w:cs="Times New Roman"/>
                <w:szCs w:val="20"/>
              </w:rPr>
              <m:t>t</m:t>
            </m:r>
          </m:sub>
        </m:sSub>
      </m:oMath>
      <w:r w:rsidRPr="00190862">
        <w:rPr>
          <w:rFonts w:ascii="Times New Roman" w:hAnsi="Times New Roman" w:cs="Times New Roman"/>
          <w:szCs w:val="20"/>
        </w:rPr>
        <w:t xml:space="preserve"> </w:t>
      </w:r>
      <w:proofErr w:type="gramStart"/>
      <w:r w:rsidRPr="00190862">
        <w:rPr>
          <w:rFonts w:ascii="Times New Roman" w:hAnsi="Times New Roman" w:cs="Times New Roman"/>
          <w:szCs w:val="20"/>
        </w:rPr>
        <w:t>denotes</w:t>
      </w:r>
      <w:proofErr w:type="gramEnd"/>
      <w:r w:rsidRPr="00190862">
        <w:rPr>
          <w:rFonts w:ascii="Times New Roman" w:hAnsi="Times New Roman" w:cs="Times New Roman"/>
          <w:szCs w:val="20"/>
        </w:rPr>
        <w:t xml:space="preserve"> year fixed effect and </w:t>
      </w:r>
      <m:oMath>
        <m:sSub>
          <m:sSubPr>
            <m:ctrlPr>
              <w:rPr>
                <w:rFonts w:ascii="Cambria Math" w:hAnsi="Cambria Math" w:cs="Times New Roman"/>
                <w:i/>
                <w:szCs w:val="20"/>
              </w:rPr>
            </m:ctrlPr>
          </m:sSubPr>
          <m:e>
            <m:r>
              <w:rPr>
                <w:rFonts w:ascii="Cambria Math" w:hAnsi="Cambria Math" w:cs="Times New Roman"/>
                <w:szCs w:val="20"/>
              </w:rPr>
              <m:t>μ</m:t>
            </m:r>
          </m:e>
          <m:sub>
            <m:r>
              <w:rPr>
                <w:rFonts w:ascii="Cambria Math" w:hAnsi="Cambria Math" w:cs="Times New Roman"/>
                <w:szCs w:val="20"/>
              </w:rPr>
              <m:t>i</m:t>
            </m:r>
          </m:sub>
        </m:sSub>
      </m:oMath>
      <w:r w:rsidRPr="00190862">
        <w:rPr>
          <w:rFonts w:ascii="Times New Roman" w:hAnsi="Times New Roman" w:cs="Times New Roman"/>
          <w:szCs w:val="20"/>
        </w:rPr>
        <w:t xml:space="preserve"> denotes firm fixed effects. </w:t>
      </w:r>
      <m:oMath>
        <m:sSub>
          <m:sSubPr>
            <m:ctrlPr>
              <w:rPr>
                <w:rFonts w:ascii="Cambria Math" w:hAnsi="Cambria Math" w:cs="Times New Roman"/>
                <w:i/>
                <w:szCs w:val="20"/>
              </w:rPr>
            </m:ctrlPr>
          </m:sSubPr>
          <m:e>
            <m:r>
              <w:rPr>
                <w:rFonts w:ascii="Cambria Math" w:hAnsi="Cambria Math" w:cs="Times New Roman"/>
                <w:szCs w:val="20"/>
              </w:rPr>
              <m:t>X</m:t>
            </m:r>
          </m:e>
          <m:sub>
            <m:r>
              <w:rPr>
                <w:rFonts w:ascii="Cambria Math" w:hAnsi="Cambria Math" w:cs="Times New Roman"/>
                <w:szCs w:val="20"/>
              </w:rPr>
              <m:t>i,t</m:t>
            </m:r>
          </m:sub>
        </m:sSub>
      </m:oMath>
      <w:r w:rsidRPr="00190862">
        <w:rPr>
          <w:rFonts w:ascii="Times New Roman" w:hAnsi="Times New Roman" w:cs="Times New Roman"/>
          <w:szCs w:val="20"/>
        </w:rPr>
        <w:t xml:space="preserve"> </w:t>
      </w:r>
      <w:proofErr w:type="gramStart"/>
      <w:r w:rsidRPr="00190862">
        <w:rPr>
          <w:rFonts w:ascii="Times New Roman" w:hAnsi="Times New Roman" w:cs="Times New Roman"/>
          <w:szCs w:val="20"/>
        </w:rPr>
        <w:t>is</w:t>
      </w:r>
      <w:proofErr w:type="gramEnd"/>
      <w:r w:rsidRPr="00190862">
        <w:rPr>
          <w:rFonts w:ascii="Times New Roman" w:hAnsi="Times New Roman" w:cs="Times New Roman"/>
          <w:szCs w:val="20"/>
        </w:rPr>
        <w:t xml:space="preserve"> the vector of control variables. If business group has a negative effect on non-member firms’ financial health as in Hypothesis 1, then we expect a positive and statistically significant b, c, and d. </w:t>
      </w:r>
    </w:p>
    <w:p w:rsidR="00F73808" w:rsidRPr="00190862" w:rsidRDefault="00F73808" w:rsidP="00190862">
      <w:pPr>
        <w:spacing w:line="420" w:lineRule="auto"/>
        <w:contextualSpacing/>
        <w:rPr>
          <w:rFonts w:ascii="Times New Roman" w:hAnsi="Times New Roman" w:cs="Times New Roman"/>
          <w:szCs w:val="20"/>
        </w:rPr>
      </w:pPr>
    </w:p>
    <w:p w:rsidR="00F73808" w:rsidRDefault="00886B05" w:rsidP="00F73808">
      <w:pPr>
        <w:spacing w:line="480" w:lineRule="auto"/>
        <w:contextualSpacing/>
        <w:rPr>
          <w:rFonts w:ascii="Times New Roman" w:hAnsi="Times New Roman" w:cs="Times New Roman"/>
          <w:b/>
          <w:sz w:val="30"/>
          <w:szCs w:val="30"/>
        </w:rPr>
      </w:pPr>
      <w:r>
        <w:rPr>
          <w:rFonts w:ascii="Times New Roman" w:hAnsi="Times New Roman" w:cs="Times New Roman"/>
          <w:b/>
          <w:sz w:val="30"/>
          <w:szCs w:val="30"/>
        </w:rPr>
        <w:fldChar w:fldCharType="begin"/>
      </w:r>
      <w:r w:rsidR="00F73808">
        <w:rPr>
          <w:rFonts w:ascii="Times New Roman" w:eastAsia="SimSun" w:hAnsi="Times New Roman" w:cs="Times New Roman"/>
          <w:b/>
          <w:sz w:val="30"/>
          <w:szCs w:val="30"/>
          <w:lang w:eastAsia="zh-CN"/>
        </w:rPr>
        <w:instrText xml:space="preserve"> </w:instrText>
      </w:r>
      <w:r w:rsidR="00F73808">
        <w:rPr>
          <w:rFonts w:ascii="Times New Roman" w:eastAsia="SimSun" w:hAnsi="Times New Roman" w:cs="Times New Roman" w:hint="eastAsia"/>
          <w:b/>
          <w:sz w:val="30"/>
          <w:szCs w:val="30"/>
          <w:lang w:eastAsia="zh-CN"/>
        </w:rPr>
        <w:instrText>= 4 \* ROMAN</w:instrText>
      </w:r>
      <w:r w:rsidR="00F73808">
        <w:rPr>
          <w:rFonts w:ascii="Times New Roman" w:eastAsia="SimSun" w:hAnsi="Times New Roman" w:cs="Times New Roman"/>
          <w:b/>
          <w:sz w:val="30"/>
          <w:szCs w:val="30"/>
          <w:lang w:eastAsia="zh-CN"/>
        </w:rPr>
        <w:instrText xml:space="preserve"> </w:instrText>
      </w:r>
      <w:r>
        <w:rPr>
          <w:rFonts w:ascii="Times New Roman" w:hAnsi="Times New Roman" w:cs="Times New Roman"/>
          <w:b/>
          <w:sz w:val="30"/>
          <w:szCs w:val="30"/>
        </w:rPr>
        <w:fldChar w:fldCharType="separate"/>
      </w:r>
      <w:proofErr w:type="gramStart"/>
      <w:r w:rsidR="00F73808">
        <w:rPr>
          <w:rFonts w:ascii="Times New Roman" w:eastAsia="SimSun" w:hAnsi="Times New Roman" w:cs="Times New Roman"/>
          <w:b/>
          <w:noProof/>
          <w:sz w:val="30"/>
          <w:szCs w:val="30"/>
          <w:lang w:eastAsia="zh-CN"/>
        </w:rPr>
        <w:t>IV</w:t>
      </w:r>
      <w:r>
        <w:rPr>
          <w:rFonts w:ascii="Times New Roman" w:hAnsi="Times New Roman" w:cs="Times New Roman"/>
          <w:b/>
          <w:sz w:val="30"/>
          <w:szCs w:val="30"/>
        </w:rPr>
        <w:fldChar w:fldCharType="end"/>
      </w:r>
      <w:r w:rsidR="00F73808">
        <w:rPr>
          <w:rFonts w:ascii="Times New Roman" w:hAnsi="Times New Roman" w:cs="Times New Roman"/>
          <w:b/>
          <w:sz w:val="30"/>
          <w:szCs w:val="30"/>
        </w:rPr>
        <w:t>.</w:t>
      </w:r>
      <w:proofErr w:type="gramEnd"/>
      <w:r w:rsidR="00F73808">
        <w:rPr>
          <w:rFonts w:ascii="Times New Roman" w:hAnsi="Times New Roman" w:cs="Times New Roman"/>
          <w:b/>
          <w:sz w:val="30"/>
          <w:szCs w:val="30"/>
        </w:rPr>
        <w:t xml:space="preserve"> Data</w:t>
      </w:r>
    </w:p>
    <w:p w:rsidR="00F73808" w:rsidRDefault="00F73808" w:rsidP="00F73808">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 xml:space="preserve">Our sample period ranges from </w:t>
      </w:r>
      <w:r w:rsidRPr="00F73808">
        <w:rPr>
          <w:rFonts w:ascii="Times New Roman" w:hAnsi="Times New Roman" w:cs="Times New Roman"/>
          <w:szCs w:val="20"/>
        </w:rPr>
        <w:t>2001 to 2014. To calculate industry wide BSDI, we need to identify member firms for each business group first. We collect this information from the Korea Fair Trade Commission (KFTC)</w:t>
      </w:r>
      <w:r w:rsidRPr="00F73808">
        <w:rPr>
          <w:rFonts w:ascii="Times New Roman" w:hAnsi="Times New Roman" w:cs="Times New Roman" w:hint="eastAsia"/>
          <w:szCs w:val="20"/>
        </w:rPr>
        <w:t xml:space="preserve">, a standard data source for this type of </w:t>
      </w:r>
      <w:r w:rsidRPr="00F73808">
        <w:rPr>
          <w:rFonts w:ascii="Times New Roman" w:hAnsi="Times New Roman" w:cs="Times New Roman"/>
          <w:szCs w:val="20"/>
        </w:rPr>
        <w:t>information</w:t>
      </w:r>
      <w:r w:rsidRPr="00F73808">
        <w:rPr>
          <w:rFonts w:ascii="Times New Roman" w:hAnsi="Times New Roman" w:cs="Times New Roman" w:hint="eastAsia"/>
          <w:szCs w:val="20"/>
        </w:rPr>
        <w:t xml:space="preserve"> in Korea</w:t>
      </w:r>
      <w:r w:rsidRPr="00F73808">
        <w:rPr>
          <w:rFonts w:ascii="Times New Roman" w:hAnsi="Times New Roman" w:cs="Times New Roman"/>
          <w:szCs w:val="20"/>
        </w:rPr>
        <w:t>.</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Following many previous studies on business group in Korea (for example,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&lt;EndNote&gt;&lt;Cite&gt;&lt;Author&gt;Shin&lt;/Author&gt;&lt;Year&gt;1999&lt;/Year&gt;&lt;RecNum&gt;57&lt;/RecNum&gt;&lt;DisplayText&gt;Shin and Park (1999)&lt;/DisplayText&gt;&lt;record&gt;&lt;rec-number&gt;57&lt;/rec-number&gt;&lt;foreign-keys&gt;&lt;key app="EN" db-id="0w9rezxppe2pzrezf0lpzvz3rp29t2ds5e5t"&gt;57&lt;/key&gt;&lt;/foreign-keys&gt;&lt;ref-type name="Journal Article"&gt;17&lt;/ref-type&gt;&lt;contributors&gt;&lt;authors&gt;&lt;author&gt;Shin, Hyun-Han&lt;/author&gt;&lt;author&gt;Park, Young S&lt;/author&gt;&lt;/authors&gt;&lt;/contributors&gt;&lt;titles&gt;&lt;title&gt;Financing constraints and internal capital markets: Evidence from Koreanchaebols&amp;apos;&lt;/title&gt;&lt;secondary-title&gt;Journal of corporate finance&lt;/secondary-title&gt;&lt;/titles&gt;&lt;periodical&gt;&lt;full-title&gt;Journal of corporate finance&lt;/full-title&gt;&lt;/periodical&gt;&lt;pages&gt;169-191&lt;/pages&gt;&lt;volume&gt;5&lt;/volume&gt;&lt;number&gt;2&lt;/number&gt;&lt;dates&gt;&lt;year&gt;1999&lt;/year&gt;&lt;/dates&gt;&lt;isbn&gt;0929-1199&lt;/isbn&gt;&lt;urls&gt;&lt;/urls&gt;&lt;/record&gt;&lt;/Cite&gt;&lt;/EndNote&gt;</w:instrText>
      </w:r>
      <w:r w:rsidR="00886B05" w:rsidRPr="00F73808">
        <w:rPr>
          <w:rFonts w:ascii="Times New Roman" w:hAnsi="Times New Roman" w:cs="Times New Roman"/>
          <w:szCs w:val="20"/>
        </w:rPr>
        <w:fldChar w:fldCharType="separate"/>
      </w:r>
      <w:hyperlink w:anchor="_ENREF_32" w:tooltip="Shin, 1999 #57" w:history="1">
        <w:r w:rsidR="00710C45" w:rsidRPr="00F73808">
          <w:rPr>
            <w:rFonts w:ascii="Times New Roman" w:hAnsi="Times New Roman" w:cs="Times New Roman"/>
            <w:szCs w:val="20"/>
          </w:rPr>
          <w:t>Shin and Park (1999</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fldData xml:space="preserve">PEVuZE5vdGU+PENpdGU+PEF1dGhvcj5MZWU8L0F1dGhvcj48WWVhcj4yMDA5PC9ZZWFyPjxSZWNO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</w:fldData>
        </w:fldChar>
      </w:r>
      <w:r w:rsidRPr="00F73808">
        <w:rPr>
          <w:rFonts w:ascii="Times New Roman" w:hAnsi="Times New Roman" w:cs="Times New Roman"/>
          <w:szCs w:val="20"/>
        </w:rPr>
        <w:instrText xml:space="preserve"> ADDIN EN.CITE </w:instrText>
      </w:r>
      <w:r w:rsidR="00886B05" w:rsidRPr="00F73808">
        <w:rPr>
          <w:rFonts w:ascii="Times New Roman" w:hAnsi="Times New Roman" w:cs="Times New Roman"/>
          <w:szCs w:val="20"/>
        </w:rPr>
        <w:fldChar w:fldCharType="begin">
          <w:fldData xml:space="preserve">PEVuZE5vdGU+PENpdGU+PEF1dGhvcj5MZWU8L0F1dGhvcj48WWVhcj4yMDA5PC9ZZWFyPjxSZWNO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</w:fldData>
        </w:fldChar>
      </w:r>
      <w:r w:rsidRPr="00F73808">
        <w:rPr>
          <w:rFonts w:ascii="Times New Roman" w:hAnsi="Times New Roman" w:cs="Times New Roman"/>
          <w:szCs w:val="20"/>
        </w:rPr>
        <w:instrText xml:space="preserve"> ADDIN EN.CITE.DATA </w:instrText>
      </w:r>
      <w:r w:rsidR="00886B05" w:rsidRPr="00F73808">
        <w:rPr>
          <w:rFonts w:ascii="Times New Roman" w:hAnsi="Times New Roman" w:cs="Times New Roman"/>
          <w:szCs w:val="20"/>
        </w:rPr>
      </w:r>
      <w:r w:rsidR="00886B05" w:rsidRPr="00F73808">
        <w:rPr>
          <w:rFonts w:ascii="Times New Roman" w:hAnsi="Times New Roman" w:cs="Times New Roman"/>
          <w:szCs w:val="20"/>
        </w:rPr>
        <w:fldChar w:fldCharType="end"/>
      </w:r>
      <w:r w:rsidR="00886B05" w:rsidRPr="00F73808">
        <w:rPr>
          <w:rFonts w:ascii="Times New Roman" w:hAnsi="Times New Roman" w:cs="Times New Roman"/>
          <w:szCs w:val="20"/>
        </w:rPr>
      </w:r>
      <w:r w:rsidR="00886B05" w:rsidRPr="00F73808">
        <w:rPr>
          <w:rFonts w:ascii="Times New Roman" w:hAnsi="Times New Roman" w:cs="Times New Roman"/>
          <w:szCs w:val="20"/>
        </w:rPr>
        <w:fldChar w:fldCharType="separate"/>
      </w:r>
      <w:hyperlink w:anchor="_ENREF_5" w:tooltip="Bae, 2002 #77" w:history="1">
        <w:r w:rsidR="007852F2">
          <w:rPr>
            <w:rFonts w:ascii="Times New Roman" w:hAnsi="Times New Roman" w:cs="Times New Roman"/>
            <w:szCs w:val="20"/>
          </w:rPr>
          <w:t xml:space="preserve">Bae et al. </w:t>
        </w:r>
        <w:r w:rsidR="00710C45" w:rsidRPr="00F73808">
          <w:rPr>
            <w:rFonts w:ascii="Times New Roman" w:hAnsi="Times New Roman" w:cs="Times New Roman"/>
            <w:szCs w:val="20"/>
          </w:rPr>
          <w:t>(2002</w:t>
        </w:r>
      </w:hyperlink>
      <w:r w:rsidRPr="00F73808">
        <w:rPr>
          <w:rFonts w:ascii="Times New Roman" w:hAnsi="Times New Roman" w:cs="Times New Roman"/>
          <w:szCs w:val="20"/>
        </w:rPr>
        <w:t xml:space="preserve">); </w:t>
      </w:r>
      <w:hyperlink w:anchor="_ENREF_24" w:tooltip="Kim, 2007 #87" w:history="1">
        <w:r w:rsidR="007852F2">
          <w:rPr>
            <w:rFonts w:ascii="Times New Roman" w:hAnsi="Times New Roman" w:cs="Times New Roman"/>
            <w:szCs w:val="20"/>
          </w:rPr>
          <w:t>Kim et al.</w:t>
        </w:r>
        <w:r w:rsidR="00710C45" w:rsidRPr="00F73808">
          <w:rPr>
            <w:rFonts w:ascii="Times New Roman" w:hAnsi="Times New Roman" w:cs="Times New Roman"/>
            <w:szCs w:val="20"/>
          </w:rPr>
          <w:t xml:space="preserve"> (2007</w:t>
        </w:r>
      </w:hyperlink>
      <w:r w:rsidRPr="00F73808">
        <w:rPr>
          <w:rFonts w:ascii="Times New Roman" w:hAnsi="Times New Roman" w:cs="Times New Roman"/>
          <w:szCs w:val="20"/>
        </w:rPr>
        <w:t xml:space="preserve">); </w:t>
      </w:r>
      <w:hyperlink w:anchor="_ENREF_26" w:tooltip="Lee, 2009 #58" w:history="1">
        <w:r w:rsidR="007852F2">
          <w:rPr>
            <w:rFonts w:ascii="Times New Roman" w:hAnsi="Times New Roman" w:cs="Times New Roman"/>
            <w:szCs w:val="20"/>
          </w:rPr>
          <w:t>Lee et al.</w:t>
        </w:r>
        <w:r w:rsidR="00710C45" w:rsidRPr="00F73808">
          <w:rPr>
            <w:rFonts w:ascii="Times New Roman" w:hAnsi="Times New Roman" w:cs="Times New Roman"/>
            <w:szCs w:val="20"/>
          </w:rPr>
          <w:t xml:space="preserve"> (2009</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F73808">
        <w:rPr>
          <w:rFonts w:ascii="Times New Roman" w:hAnsi="Times New Roman" w:cs="Times New Roman"/>
          <w:szCs w:val="20"/>
        </w:rPr>
        <w:fldChar w:fldCharType="separate"/>
      </w:r>
      <w:hyperlink w:anchor="_ENREF_28" w:tooltip="Liu, 2016 #130" w:history="1">
        <w:r w:rsidR="00CB5C3F">
          <w:rPr>
            <w:rFonts w:ascii="Times New Roman" w:hAnsi="Times New Roman" w:cs="Times New Roman"/>
            <w:noProof/>
            <w:szCs w:val="20"/>
          </w:rPr>
          <w:t>Liu et al.</w:t>
        </w:r>
        <w:r w:rsidR="00710C45">
          <w:rPr>
            <w:rFonts w:ascii="Times New Roman" w:hAnsi="Times New Roman" w:cs="Times New Roman"/>
            <w:noProof/>
            <w:szCs w:val="20"/>
          </w:rPr>
          <w:t xml:space="preserve"> (2016</w:t>
        </w:r>
      </w:hyperlink>
      <w:r w:rsidR="00710C45">
        <w:rPr>
          <w:rFonts w:ascii="Times New Roman" w:hAnsi="Times New Roman" w:cs="Times New Roman"/>
          <w:noProof/>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hint="eastAsia"/>
          <w:szCs w:val="20"/>
        </w:rPr>
        <w:t xml:space="preserve">, </w:t>
      </w:r>
      <w:r w:rsidRPr="00F73808">
        <w:rPr>
          <w:rFonts w:ascii="Times New Roman" w:hAnsi="Times New Roman" w:cs="Times New Roman"/>
          <w:szCs w:val="20"/>
        </w:rPr>
        <w:t>e</w:t>
      </w:r>
      <w:r w:rsidRPr="00F73808">
        <w:rPr>
          <w:rFonts w:ascii="Times New Roman" w:hAnsi="Times New Roman" w:cs="Times New Roman" w:hint="eastAsia"/>
          <w:szCs w:val="20"/>
        </w:rPr>
        <w:t>tc.</w:t>
      </w:r>
      <w:r w:rsidRPr="00F73808">
        <w:rPr>
          <w:rFonts w:ascii="Times New Roman" w:hAnsi="Times New Roman" w:cs="Times New Roman"/>
          <w:szCs w:val="20"/>
        </w:rPr>
        <w:t xml:space="preserve">), we focus on the top 30 largest business groups in calculating BSDI. We collect accounting information and industry classification data for all public </w:t>
      </w:r>
      <w:r w:rsidRPr="00F73808">
        <w:rPr>
          <w:rFonts w:ascii="Times New Roman" w:hAnsi="Times New Roman" w:cs="Times New Roman" w:hint="eastAsia"/>
          <w:szCs w:val="20"/>
        </w:rPr>
        <w:t xml:space="preserve">firms </w:t>
      </w:r>
      <w:r w:rsidRPr="00F73808">
        <w:rPr>
          <w:rFonts w:ascii="Times New Roman" w:hAnsi="Times New Roman" w:cs="Times New Roman"/>
          <w:szCs w:val="20"/>
        </w:rPr>
        <w:t>and external</w:t>
      </w:r>
      <w:r w:rsidRPr="00F73808">
        <w:rPr>
          <w:rFonts w:ascii="Times New Roman" w:hAnsi="Times New Roman" w:cs="Times New Roman" w:hint="eastAsia"/>
          <w:szCs w:val="20"/>
        </w:rPr>
        <w:t>ly</w:t>
      </w:r>
      <w:r w:rsidRPr="00F73808">
        <w:rPr>
          <w:rFonts w:ascii="Times New Roman" w:hAnsi="Times New Roman" w:cs="Times New Roman"/>
          <w:szCs w:val="20"/>
        </w:rPr>
        <w:t xml:space="preserve"> audited firms in Korea from TS2000 database</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For credit rating information, we obtain KIS credit rating score for </w:t>
      </w:r>
      <w:r w:rsidRPr="00F73808">
        <w:rPr>
          <w:rFonts w:ascii="Times New Roman" w:hAnsi="Times New Roman" w:cs="Times New Roman" w:hint="eastAsia"/>
          <w:szCs w:val="20"/>
        </w:rPr>
        <w:t xml:space="preserve">stock </w:t>
      </w:r>
      <w:r w:rsidRPr="00F73808">
        <w:rPr>
          <w:rFonts w:ascii="Times New Roman" w:hAnsi="Times New Roman" w:cs="Times New Roman"/>
          <w:szCs w:val="20"/>
        </w:rPr>
        <w:t>exchange listed firms from KIS-VALUE database.</w:t>
      </w:r>
      <w:r w:rsidRPr="00F73808">
        <w:rPr>
          <w:rFonts w:ascii="Times New Roman" w:hAnsi="Times New Roman" w:cs="Times New Roman" w:hint="eastAsia"/>
          <w:szCs w:val="20"/>
        </w:rPr>
        <w:t xml:space="preserve"> We exclude firms from </w:t>
      </w:r>
      <w:r w:rsidRPr="00F73808">
        <w:rPr>
          <w:rFonts w:ascii="Times New Roman" w:hAnsi="Times New Roman" w:cs="Times New Roman"/>
          <w:szCs w:val="20"/>
        </w:rPr>
        <w:t xml:space="preserve">financial or utility industries. Finally, </w:t>
      </w:r>
      <w:r w:rsidRPr="00F73808">
        <w:rPr>
          <w:rFonts w:ascii="Times New Roman" w:hAnsi="Times New Roman" w:cs="Times New Roman" w:hint="eastAsia"/>
          <w:szCs w:val="20"/>
        </w:rPr>
        <w:t xml:space="preserve">to control for </w:t>
      </w:r>
      <w:r w:rsidRPr="00F73808">
        <w:rPr>
          <w:rFonts w:ascii="Times New Roman" w:hAnsi="Times New Roman" w:cs="Times New Roman" w:hint="eastAsia"/>
          <w:szCs w:val="20"/>
        </w:rPr>
        <w:lastRenderedPageBreak/>
        <w:t xml:space="preserve">potential outlier problems, we </w:t>
      </w:r>
      <w:proofErr w:type="spellStart"/>
      <w:r w:rsidRPr="00F73808">
        <w:rPr>
          <w:rFonts w:ascii="Times New Roman" w:hAnsi="Times New Roman" w:cs="Times New Roman" w:hint="eastAsia"/>
          <w:szCs w:val="20"/>
        </w:rPr>
        <w:t>winsorize</w:t>
      </w:r>
      <w:proofErr w:type="spellEnd"/>
      <w:r w:rsidRPr="00F73808">
        <w:rPr>
          <w:rFonts w:ascii="Times New Roman" w:hAnsi="Times New Roman" w:cs="Times New Roman"/>
          <w:szCs w:val="20"/>
        </w:rPr>
        <w:t xml:space="preserve"> the sample at </w:t>
      </w:r>
      <w:r w:rsidRPr="00F73808">
        <w:rPr>
          <w:rFonts w:ascii="Times New Roman" w:hAnsi="Times New Roman" w:cs="Times New Roman" w:hint="eastAsia"/>
          <w:szCs w:val="20"/>
        </w:rPr>
        <w:t xml:space="preserve">bottom </w:t>
      </w:r>
      <w:r w:rsidRPr="00F73808">
        <w:rPr>
          <w:rFonts w:ascii="Times New Roman" w:hAnsi="Times New Roman" w:cs="Times New Roman"/>
          <w:szCs w:val="20"/>
        </w:rPr>
        <w:t>1%</w:t>
      </w:r>
      <w:r w:rsidRPr="00F73808">
        <w:rPr>
          <w:rFonts w:ascii="Times New Roman" w:hAnsi="Times New Roman" w:cs="Times New Roman" w:hint="eastAsia"/>
          <w:szCs w:val="20"/>
        </w:rPr>
        <w:t xml:space="preserve"> and top</w:t>
      </w:r>
      <w:r w:rsidR="007852F2">
        <w:rPr>
          <w:rFonts w:ascii="Times New Roman" w:hAnsi="Times New Roman" w:cs="Times New Roman"/>
          <w:szCs w:val="20"/>
        </w:rPr>
        <w:t xml:space="preserve"> </w:t>
      </w:r>
      <w:r w:rsidRPr="00F73808">
        <w:rPr>
          <w:rFonts w:ascii="Times New Roman" w:hAnsi="Times New Roman" w:cs="Times New Roman"/>
          <w:szCs w:val="20"/>
        </w:rPr>
        <w:t xml:space="preserve">99% based on KL-score and KM-score. This leaves us a total of 31,119 </w:t>
      </w:r>
      <w:r w:rsidRPr="00F73808">
        <w:rPr>
          <w:rFonts w:ascii="Times New Roman" w:hAnsi="Times New Roman" w:cs="Times New Roman" w:hint="eastAsia"/>
          <w:szCs w:val="20"/>
        </w:rPr>
        <w:t xml:space="preserve">unique </w:t>
      </w:r>
      <w:r w:rsidRPr="00F73808">
        <w:rPr>
          <w:rFonts w:ascii="Times New Roman" w:hAnsi="Times New Roman" w:cs="Times New Roman"/>
          <w:szCs w:val="20"/>
        </w:rPr>
        <w:t>firms</w:t>
      </w:r>
      <w:r w:rsidRPr="00F73808">
        <w:rPr>
          <w:rFonts w:ascii="Times New Roman" w:hAnsi="Times New Roman" w:cs="Times New Roman" w:hint="eastAsia"/>
          <w:szCs w:val="20"/>
        </w:rPr>
        <w:t xml:space="preserve"> (most of which are externally audited firms)</w:t>
      </w:r>
      <w:r w:rsidRPr="00F73808">
        <w:rPr>
          <w:rFonts w:ascii="Times New Roman" w:hAnsi="Times New Roman" w:cs="Times New Roman"/>
          <w:szCs w:val="20"/>
        </w:rPr>
        <w:t xml:space="preserve">, among which 1,074 are member firms of </w:t>
      </w:r>
      <w:r w:rsidRPr="00F73808">
        <w:rPr>
          <w:rFonts w:ascii="Times New Roman" w:hAnsi="Times New Roman" w:cs="Times New Roman" w:hint="eastAsia"/>
          <w:szCs w:val="20"/>
        </w:rPr>
        <w:t xml:space="preserve">top 30 </w:t>
      </w:r>
      <w:r w:rsidRPr="00F73808">
        <w:rPr>
          <w:rFonts w:ascii="Times New Roman" w:hAnsi="Times New Roman" w:cs="Times New Roman"/>
          <w:szCs w:val="20"/>
        </w:rPr>
        <w:t>large business groups and 30,045 are non-member firms.</w:t>
      </w:r>
    </w:p>
    <w:p w:rsidR="00F73808" w:rsidRDefault="00F73808" w:rsidP="00F73808">
      <w:pPr>
        <w:spacing w:line="480" w:lineRule="auto"/>
        <w:contextualSpacing/>
        <w:rPr>
          <w:rFonts w:ascii="Times New Roman" w:hAnsi="Times New Roman" w:cs="Times New Roman"/>
          <w:szCs w:val="20"/>
        </w:rPr>
      </w:pPr>
    </w:p>
    <w:p w:rsidR="00F73808" w:rsidRPr="00F73808" w:rsidRDefault="00886B05" w:rsidP="00F73808">
      <w:pPr>
        <w:spacing w:line="480" w:lineRule="auto"/>
        <w:contextualSpacing/>
        <w:rPr>
          <w:rFonts w:ascii="Times New Roman" w:hAnsi="Times New Roman" w:cs="Times New Roman"/>
          <w:b/>
          <w:sz w:val="30"/>
          <w:szCs w:val="30"/>
        </w:rPr>
      </w:pPr>
      <w:r w:rsidRPr="00F73808">
        <w:rPr>
          <w:rFonts w:ascii="Times New Roman" w:hAnsi="Times New Roman" w:cs="Times New Roman"/>
          <w:b/>
          <w:sz w:val="30"/>
          <w:szCs w:val="30"/>
        </w:rPr>
        <w:fldChar w:fldCharType="begin"/>
      </w:r>
      <w:r w:rsidR="00F73808" w:rsidRPr="00F73808">
        <w:rPr>
          <w:rFonts w:ascii="Times New Roman" w:eastAsia="SimSun" w:hAnsi="Times New Roman" w:cs="Times New Roman"/>
          <w:b/>
          <w:sz w:val="30"/>
          <w:szCs w:val="30"/>
          <w:lang w:eastAsia="zh-CN"/>
        </w:rPr>
        <w:instrText xml:space="preserve"> </w:instrText>
      </w:r>
      <w:r w:rsidR="00F73808" w:rsidRPr="00F73808">
        <w:rPr>
          <w:rFonts w:ascii="Times New Roman" w:eastAsia="SimSun" w:hAnsi="Times New Roman" w:cs="Times New Roman" w:hint="eastAsia"/>
          <w:b/>
          <w:sz w:val="30"/>
          <w:szCs w:val="30"/>
          <w:lang w:eastAsia="zh-CN"/>
        </w:rPr>
        <w:instrText>= 5 \* ROMAN</w:instrText>
      </w:r>
      <w:r w:rsidR="00F73808" w:rsidRPr="00F73808">
        <w:rPr>
          <w:rFonts w:ascii="Times New Roman" w:eastAsia="SimSun" w:hAnsi="Times New Roman" w:cs="Times New Roman"/>
          <w:b/>
          <w:sz w:val="30"/>
          <w:szCs w:val="30"/>
          <w:lang w:eastAsia="zh-CN"/>
        </w:rPr>
        <w:instrText xml:space="preserve"> </w:instrText>
      </w:r>
      <w:r w:rsidRPr="00F73808">
        <w:rPr>
          <w:rFonts w:ascii="Times New Roman" w:hAnsi="Times New Roman" w:cs="Times New Roman"/>
          <w:b/>
          <w:sz w:val="30"/>
          <w:szCs w:val="30"/>
        </w:rPr>
        <w:fldChar w:fldCharType="separate"/>
      </w:r>
      <w:r w:rsidR="00F73808" w:rsidRPr="00F73808">
        <w:rPr>
          <w:rFonts w:ascii="Times New Roman" w:eastAsia="SimSun" w:hAnsi="Times New Roman" w:cs="Times New Roman"/>
          <w:b/>
          <w:noProof/>
          <w:sz w:val="30"/>
          <w:szCs w:val="30"/>
          <w:lang w:eastAsia="zh-CN"/>
        </w:rPr>
        <w:t>V</w:t>
      </w:r>
      <w:r w:rsidRPr="00F73808">
        <w:rPr>
          <w:rFonts w:ascii="Times New Roman" w:hAnsi="Times New Roman" w:cs="Times New Roman"/>
          <w:b/>
          <w:sz w:val="30"/>
          <w:szCs w:val="30"/>
        </w:rPr>
        <w:fldChar w:fldCharType="end"/>
      </w:r>
      <w:r w:rsidR="00F73808" w:rsidRPr="00F73808">
        <w:rPr>
          <w:rFonts w:ascii="Times New Roman" w:hAnsi="Times New Roman" w:cs="Times New Roman"/>
          <w:b/>
          <w:sz w:val="30"/>
          <w:szCs w:val="30"/>
        </w:rPr>
        <w:t>. Empirical Results</w:t>
      </w:r>
    </w:p>
    <w:p w:rsidR="00F73808" w:rsidRPr="00F73808" w:rsidRDefault="00F73808" w:rsidP="00F73808">
      <w:pPr>
        <w:spacing w:line="480" w:lineRule="auto"/>
        <w:contextualSpacing/>
        <w:rPr>
          <w:rFonts w:ascii="Times New Roman" w:hAnsi="Times New Roman" w:cs="Times New Roman"/>
          <w:sz w:val="26"/>
          <w:szCs w:val="26"/>
        </w:rPr>
      </w:pPr>
      <w:r w:rsidRPr="00F73808">
        <w:rPr>
          <w:rFonts w:ascii="Times New Roman" w:hAnsi="Times New Roman" w:cs="Times New Roman"/>
          <w:sz w:val="26"/>
          <w:szCs w:val="26"/>
        </w:rPr>
        <w:t>1. Summary statistics</w:t>
      </w:r>
    </w:p>
    <w:p w:rsidR="00F73808" w:rsidRPr="00F73808" w:rsidRDefault="00F73808" w:rsidP="00F73808">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Table 1 presents the summary statistics of the main variables examined in this study. There are totally 203,486 firms years in the sample, of which 8,388 are member firms and the remaining 195, 098 are non-member firms. Consistent with the observation on the number of firms shown in the previous section, member firms </w:t>
      </w:r>
      <w:r w:rsidRPr="00F73808">
        <w:rPr>
          <w:rFonts w:ascii="Times New Roman" w:hAnsi="Times New Roman" w:cs="Times New Roman" w:hint="eastAsia"/>
          <w:szCs w:val="20"/>
        </w:rPr>
        <w:t xml:space="preserve">account for </w:t>
      </w:r>
      <w:r w:rsidRPr="00F73808">
        <w:rPr>
          <w:rFonts w:ascii="Times New Roman" w:hAnsi="Times New Roman" w:cs="Times New Roman"/>
          <w:szCs w:val="20"/>
        </w:rPr>
        <w:t>a small portion of our sample. Moreover, an average firm year of the entire sample has a firm size (</w:t>
      </w:r>
      <w:r w:rsidRPr="00F73808">
        <w:rPr>
          <w:rFonts w:ascii="Times New Roman" w:hAnsi="Times New Roman" w:cs="Times New Roman" w:hint="eastAsia"/>
          <w:szCs w:val="20"/>
        </w:rPr>
        <w:t xml:space="preserve">as measured in </w:t>
      </w:r>
      <w:r w:rsidRPr="00F73808">
        <w:rPr>
          <w:rFonts w:ascii="Times New Roman" w:hAnsi="Times New Roman" w:cs="Times New Roman"/>
          <w:szCs w:val="20"/>
        </w:rPr>
        <w:t xml:space="preserve">logged sales) of about 9.75 </w:t>
      </w:r>
      <w:r w:rsidR="007852F2">
        <w:rPr>
          <w:rFonts w:ascii="Times New Roman" w:hAnsi="Times New Roman" w:cs="Times New Roman"/>
          <w:szCs w:val="20"/>
        </w:rPr>
        <w:t>(</w:t>
      </w:r>
      <w:r w:rsidRPr="00F73808">
        <w:rPr>
          <w:rFonts w:ascii="Times New Roman" w:hAnsi="Times New Roman" w:cs="Times New Roman" w:hint="eastAsia"/>
          <w:szCs w:val="20"/>
        </w:rPr>
        <w:t>in KRW</w:t>
      </w:r>
      <w:r w:rsidRPr="00F73808">
        <w:rPr>
          <w:rFonts w:ascii="Times New Roman" w:hAnsi="Times New Roman" w:cs="Times New Roman"/>
          <w:szCs w:val="20"/>
        </w:rPr>
        <w:t xml:space="preserve"> roughly 17.2 billion) and has total liabilities 2.76 times of book value of equity. It also has a ROA about 0.015 and about 0.5% of its total assets are spent on R&amp;D activities. The measure of industry wide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level, BSDI, has a mean of about 0.09 and the measure of general competition intensity, the </w:t>
      </w:r>
      <w:proofErr w:type="spellStart"/>
      <w:r w:rsidRPr="00F73808">
        <w:rPr>
          <w:rFonts w:ascii="Times New Roman" w:hAnsi="Times New Roman" w:cs="Times New Roman"/>
          <w:szCs w:val="20"/>
        </w:rPr>
        <w:t>Herfindahl</w:t>
      </w:r>
      <w:proofErr w:type="spellEnd"/>
      <w:r w:rsidRPr="00F73808">
        <w:rPr>
          <w:rFonts w:ascii="Times New Roman" w:hAnsi="Times New Roman" w:cs="Times New Roman"/>
          <w:szCs w:val="20"/>
        </w:rPr>
        <w:t>-Hirschman index (HHI) has a mean of 0.08. Finally, the average risk free rate for the en</w:t>
      </w:r>
      <w:r w:rsidRPr="00F73808">
        <w:rPr>
          <w:rFonts w:ascii="Times New Roman" w:hAnsi="Times New Roman" w:cs="Times New Roman" w:hint="eastAsia"/>
          <w:szCs w:val="20"/>
        </w:rPr>
        <w:t>ti</w:t>
      </w:r>
      <w:r w:rsidRPr="00F73808">
        <w:rPr>
          <w:rFonts w:ascii="Times New Roman" w:hAnsi="Times New Roman" w:cs="Times New Roman"/>
          <w:szCs w:val="20"/>
        </w:rPr>
        <w:t>re sample period is about 3.8%.</w:t>
      </w:r>
    </w:p>
    <w:p w:rsidR="00F73808" w:rsidRPr="00F73808" w:rsidRDefault="00F73808" w:rsidP="00F73808">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1 about here]</w:t>
      </w:r>
    </w:p>
    <w:p w:rsidR="00F73808" w:rsidRPr="00F73808" w:rsidRDefault="00F73808" w:rsidP="00F73808">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Table 1 also shows that there exist vast differences in firm’s characteristics between member firms and non-member firms. Firstly, member firms have significantly lower KL-score (KM-score) compared to non-member firms, suggesting their financial distress risk are much lower on average. This result is consistent with existing study on the “risk sharing” effect of business groups (see for example,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&lt;EndNote&gt;&lt;Cite&gt;&lt;Author&gt;Lewellen&lt;/Author&gt;&lt;Year&gt;1971&lt;/Year&gt;&lt;RecNum&gt;76&lt;/RecNum&gt;&lt;DisplayText&gt;Lewellen (1971)&lt;/DisplayText&gt;&lt;record&gt;&lt;rec-number&gt;76&lt;/rec-number&gt;&lt;foreign-keys&gt;&lt;key app="EN" db-id="0w9rezxppe2pzrezf0lpzvz3rp29t2ds5e5t"&gt;76&lt;/key&gt;&lt;/foreign-keys&gt;&lt;ref-type name="Journal Article"&gt;17&lt;/ref-type&gt;&lt;contributors&gt;&lt;authors&gt;&lt;author&gt;Lewellen, Wilbur G&lt;/author&gt;&lt;/authors&gt;&lt;/contributors&gt;&lt;titles&gt;&lt;title&gt;A pure financial rationale for the conglomerate merger&lt;/title&gt;&lt;secondary-title&gt;Journal of Finance&lt;/secondary-title&gt;&lt;/titles&gt;&lt;periodical&gt;&lt;full-title&gt;Journal of Finance&lt;/full-title&gt;&lt;/periodical&gt;&lt;pages&gt;521-537&lt;/pages&gt;&lt;dates&gt;&lt;year&gt;1971&lt;/year&gt;&lt;/dates&gt;&lt;isbn&gt;0022-1082&lt;/isbn&gt;&lt;urls&gt;&lt;/urls&gt;&lt;/record&gt;&lt;/Cite&gt;&lt;/EndNote&gt;</w:instrText>
      </w:r>
      <w:r w:rsidR="00886B05" w:rsidRPr="00F73808">
        <w:rPr>
          <w:rFonts w:ascii="Times New Roman" w:hAnsi="Times New Roman" w:cs="Times New Roman"/>
          <w:szCs w:val="20"/>
        </w:rPr>
        <w:fldChar w:fldCharType="separate"/>
      </w:r>
      <w:hyperlink w:anchor="_ENREF_27" w:tooltip="Lewellen, 1971 #76" w:history="1">
        <w:r w:rsidR="00710C45" w:rsidRPr="00F73808">
          <w:rPr>
            <w:rFonts w:ascii="Times New Roman" w:hAnsi="Times New Roman" w:cs="Times New Roman"/>
            <w:szCs w:val="20"/>
          </w:rPr>
          <w:t>Lewellen (1971</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&lt;EndNote&gt;&lt;Cite&gt;&lt;Author&gt;Khanna&lt;/Author&gt;&lt;Year&gt;2005&lt;/Year&gt;&lt;RecNum&gt;133&lt;/RecNum&gt;&lt;DisplayText&gt;Khanna and Yafeh (2005)&lt;/DisplayText&gt;&lt;record&gt;&lt;rec-number&gt;133&lt;/rec-number&gt;&lt;foreign-keys&gt;&lt;key app="EN" db-id="0w9rezxppe2pzrezf0lpzvz3rp29t2ds5e5t"&gt;133&lt;/key&gt;&lt;/foreign-keys&gt;&lt;ref-type name="Journal Article"&gt;17&lt;/ref-type&gt;&lt;contributors&gt;&lt;authors&gt;&lt;author&gt;Khanna, Tarun&lt;/author&gt;&lt;author&gt;Yafeh, Yishay&lt;/author&gt;&lt;/authors&gt;&lt;/contributors&gt;&lt;titles&gt;&lt;title&gt;Business Groups and Risk Sharing around the World*&lt;/title&gt;&lt;secondary-title&gt;The Journal of Business&lt;/secondary-title&gt;&lt;/titles&gt;&lt;periodical&gt;&lt;full-title&gt;The Journal of Business&lt;/full-title&gt;&lt;/periodical&gt;&lt;pages&gt;301-340&lt;/pages&gt;&lt;volume&gt;78&lt;/volume&gt;&lt;number&gt;1&lt;/number&gt;&lt;dates&gt;&lt;year&gt;2005&lt;/year&gt;&lt;/dates&gt;&lt;urls&gt;&lt;/urls&gt;&lt;/record&gt;&lt;/Cite&gt;&lt;/EndNote&gt;</w:instrText>
      </w:r>
      <w:r w:rsidR="00886B05" w:rsidRPr="00F73808">
        <w:rPr>
          <w:rFonts w:ascii="Times New Roman" w:hAnsi="Times New Roman" w:cs="Times New Roman"/>
          <w:szCs w:val="20"/>
        </w:rPr>
        <w:fldChar w:fldCharType="separate"/>
      </w:r>
      <w:hyperlink w:anchor="_ENREF_21" w:tooltip="Khanna, 2005 #133" w:history="1">
        <w:r w:rsidR="00710C45" w:rsidRPr="00F73808">
          <w:rPr>
            <w:rFonts w:ascii="Times New Roman" w:hAnsi="Times New Roman" w:cs="Times New Roman"/>
            <w:szCs w:val="20"/>
          </w:rPr>
          <w:t>Khanna and Yafeh (2005</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&lt;EndNote&gt;&lt;Cite&gt;&lt;Author&gt;Hann&lt;/Author&gt;&lt;Year&gt;2013&lt;/Year&gt;&lt;RecNum&gt;111&lt;/RecNum&gt;&lt;DisplayText&gt;Hann, Ogneva and Ozbas (2013)&lt;/DisplayText&gt;&lt;record&gt;&lt;rec-number&gt;111&lt;/rec-number&gt;&lt;foreign-keys&gt;&lt;key app="EN" db-id="0w9rezxppe2pzrezf0lpzvz3rp29t2ds5e5t"&gt;111&lt;/key&gt;&lt;/foreign-keys&gt;&lt;ref-type name="Journal Article"&gt;17&lt;/ref-type&gt;&lt;contributors&gt;&lt;authors&gt;&lt;author&gt;Hann, Rebecca N&lt;/author&gt;&lt;author&gt;Ogneva, Maria&lt;/author&gt;&lt;author&gt;Ozbas, Oguzhan&lt;/author&gt;&lt;/authors&gt;&lt;/contributors&gt;&lt;titles&gt;&lt;title&gt;Corporate diversification and the cost of capital&lt;/title&gt;&lt;secondary-title&gt;The journal of finance&lt;/secondary-title&gt;&lt;/titles&gt;&lt;periodical&gt;&lt;full-title&gt;The Journal of Finance&lt;/full-title&gt;&lt;/periodical&gt;&lt;pages&gt;1961-1999&lt;/pages&gt;&lt;volume&gt;68&lt;/volume&gt;&lt;number&gt;5&lt;/number&gt;&lt;dates&gt;&lt;year&gt;2013&lt;/year&gt;&lt;/dates&gt;&lt;isbn&gt;1540-6261&lt;/isbn&gt;&lt;urls&gt;&lt;/urls&gt;&lt;/record&gt;&lt;/Cite&gt;&lt;/EndNote&gt;</w:instrText>
      </w:r>
      <w:r w:rsidR="00886B05" w:rsidRPr="00F73808">
        <w:rPr>
          <w:rFonts w:ascii="Times New Roman" w:hAnsi="Times New Roman" w:cs="Times New Roman"/>
          <w:szCs w:val="20"/>
        </w:rPr>
        <w:fldChar w:fldCharType="separate"/>
      </w:r>
      <w:hyperlink w:anchor="_ENREF_19" w:tooltip="Hann, 2013 #111" w:history="1">
        <w:r w:rsidR="00F95191">
          <w:rPr>
            <w:rFonts w:ascii="Times New Roman" w:hAnsi="Times New Roman" w:cs="Times New Roman"/>
            <w:szCs w:val="20"/>
          </w:rPr>
          <w:t>Hann et al.</w:t>
        </w:r>
        <w:r w:rsidR="00710C45" w:rsidRPr="00F73808">
          <w:rPr>
            <w:rFonts w:ascii="Times New Roman" w:hAnsi="Times New Roman" w:cs="Times New Roman"/>
            <w:szCs w:val="20"/>
          </w:rPr>
          <w:t xml:space="preserve"> (2013</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An</w:t>
      </w:r>
      <w:r w:rsidRPr="00F73808">
        <w:rPr>
          <w:rFonts w:ascii="Times New Roman" w:hAnsi="Times New Roman" w:cs="Times New Roman" w:hint="eastAsia"/>
          <w:szCs w:val="20"/>
        </w:rPr>
        <w:t>other</w:t>
      </w:r>
      <w:r w:rsidRPr="00F73808">
        <w:rPr>
          <w:rFonts w:ascii="Times New Roman" w:hAnsi="Times New Roman" w:cs="Times New Roman"/>
          <w:szCs w:val="20"/>
        </w:rPr>
        <w:t xml:space="preserve"> observation is that membe</w:t>
      </w:r>
      <w:r w:rsidR="007852F2">
        <w:rPr>
          <w:rFonts w:ascii="Times New Roman" w:hAnsi="Times New Roman" w:cs="Times New Roman"/>
          <w:szCs w:val="20"/>
        </w:rPr>
        <w:t xml:space="preserve">r firms have much larger sales </w:t>
      </w:r>
      <w:r w:rsidRPr="00F73808">
        <w:rPr>
          <w:rFonts w:ascii="Times New Roman" w:hAnsi="Times New Roman" w:cs="Times New Roman"/>
          <w:szCs w:val="20"/>
        </w:rPr>
        <w:t>than non-member firms</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about 7.7 times </w:t>
      </w:r>
      <w:r w:rsidRPr="00F73808">
        <w:rPr>
          <w:rFonts w:ascii="Times New Roman" w:hAnsi="Times New Roman" w:cs="Times New Roman" w:hint="eastAsia"/>
          <w:szCs w:val="20"/>
        </w:rPr>
        <w:t xml:space="preserve">larger, </w:t>
      </w:r>
      <w:r w:rsidRPr="00F73808">
        <w:rPr>
          <w:rFonts w:ascii="Times New Roman" w:hAnsi="Times New Roman" w:cs="Times New Roman"/>
          <w:szCs w:val="20"/>
        </w:rPr>
        <w:t>on average</w:t>
      </w:r>
      <w:r w:rsidRPr="00F73808">
        <w:rPr>
          <w:rFonts w:ascii="Times New Roman" w:hAnsi="Times New Roman" w:cs="Times New Roman" w:hint="eastAsia"/>
          <w:szCs w:val="20"/>
        </w:rPr>
        <w:t xml:space="preserve">), </w:t>
      </w:r>
      <w:r w:rsidRPr="00F73808">
        <w:rPr>
          <w:rFonts w:ascii="Times New Roman" w:hAnsi="Times New Roman" w:cs="Times New Roman"/>
          <w:szCs w:val="20"/>
        </w:rPr>
        <w:t>suggest</w:t>
      </w:r>
      <w:r w:rsidRPr="00F73808">
        <w:rPr>
          <w:rFonts w:ascii="Times New Roman" w:hAnsi="Times New Roman" w:cs="Times New Roman" w:hint="eastAsia"/>
          <w:szCs w:val="20"/>
        </w:rPr>
        <w:t>ing</w:t>
      </w:r>
      <w:r w:rsidRPr="00F73808">
        <w:rPr>
          <w:rFonts w:ascii="Times New Roman" w:hAnsi="Times New Roman" w:cs="Times New Roman"/>
          <w:szCs w:val="20"/>
        </w:rPr>
        <w:t xml:space="preserve"> that member firms have much larger market share on average. The result is consistent with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&lt;EndNote&gt;&lt;Cite&gt;&lt;Author&gt;Boutin&lt;/Author&gt;&lt;Year&gt;2013&lt;/Year&gt;&lt;RecNum&gt;129&lt;/RecNum&gt;&lt;DisplayText&gt;Boutin, Cestone, Fumagalli, Pica and Serrano-Velarde (2013)&lt;/DisplayText&gt;&lt;record&gt;&lt;rec-number&gt;129&lt;/rec-number&gt;&lt;foreign-keys&gt;&lt;key app="EN" db-id="0w9rezxppe2pzrezf0lpzvz3rp29t2ds5e5t"&gt;129&lt;/key&gt;&lt;/foreign-keys&gt;&lt;ref-type name="Journal Article"&gt;17&lt;/ref-type&gt;&lt;contributors&gt;&lt;authors&gt;&lt;author&gt;Boutin, Xavier&lt;/author&gt;&lt;author&gt;Cestone, Giacinta&lt;/author&gt;&lt;author&gt;Fumagalli, Chiara&lt;/author&gt;&lt;author&gt;Pica, Giovanni&lt;/author&gt;&lt;author&gt;Serrano-Velarde, Nicolas&lt;/author&gt;&lt;/authors&gt;&lt;/contributors&gt;&lt;titles&gt;&lt;title&gt;The deep-pocket effect of internal capital markets&lt;/title&gt;&lt;secondary-title&gt;Journal of Financial Economics&lt;/secondary-title&gt;&lt;/titles&gt;&lt;periodical&gt;&lt;full-title&gt;Journal of Financial Economics&lt;/full-title&gt;&lt;/periodical&gt;&lt;pages&gt;122-145&lt;/pages&gt;&lt;volume&gt;109&lt;/volume&gt;&lt;number&gt;1&lt;/number&gt;&lt;dates&gt;&lt;year&gt;2013&lt;/year&gt;&lt;/dates&gt;&lt;isbn&gt;0304-405X&lt;/isbn&gt;&lt;urls&gt;&lt;/urls&gt;&lt;/record&gt;&lt;/Cite&gt;&lt;/EndNote&gt;</w:instrText>
      </w:r>
      <w:r w:rsidR="00886B05" w:rsidRPr="00F73808">
        <w:rPr>
          <w:rFonts w:ascii="Times New Roman" w:hAnsi="Times New Roman" w:cs="Times New Roman"/>
          <w:szCs w:val="20"/>
        </w:rPr>
        <w:fldChar w:fldCharType="separate"/>
      </w:r>
      <w:hyperlink w:anchor="_ENREF_10" w:tooltip="Boutin, 2013 #129" w:history="1">
        <w:r w:rsidR="00CB5C3F">
          <w:rPr>
            <w:rFonts w:ascii="Times New Roman" w:hAnsi="Times New Roman" w:cs="Times New Roman"/>
            <w:noProof/>
            <w:szCs w:val="20"/>
          </w:rPr>
          <w:t>Boutin et al.</w:t>
        </w:r>
        <w:r w:rsidR="00710C45">
          <w:rPr>
            <w:rFonts w:ascii="Times New Roman" w:hAnsi="Times New Roman" w:cs="Times New Roman"/>
            <w:noProof/>
            <w:szCs w:val="20"/>
          </w:rPr>
          <w:t xml:space="preserve"> (2013</w:t>
        </w:r>
      </w:hyperlink>
      <w:r w:rsidR="00710C45">
        <w:rPr>
          <w:rFonts w:ascii="Times New Roman" w:hAnsi="Times New Roman" w:cs="Times New Roman"/>
          <w:noProof/>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which shows that 89% of the largest manufacturing firms </w:t>
      </w:r>
      <w:r w:rsidR="007852F2">
        <w:rPr>
          <w:rFonts w:ascii="Times New Roman" w:hAnsi="Times New Roman" w:cs="Times New Roman"/>
          <w:szCs w:val="20"/>
        </w:rPr>
        <w:t xml:space="preserve">of their sample </w:t>
      </w:r>
      <w:r w:rsidRPr="00F73808">
        <w:rPr>
          <w:rFonts w:ascii="Times New Roman" w:hAnsi="Times New Roman" w:cs="Times New Roman"/>
          <w:szCs w:val="20"/>
        </w:rPr>
        <w:t xml:space="preserve">belong to business groups. According to </w:t>
      </w:r>
      <w:proofErr w:type="spellStart"/>
      <w:r w:rsidRPr="00F73808">
        <w:rPr>
          <w:rFonts w:ascii="Times New Roman" w:hAnsi="Times New Roman" w:cs="Times New Roman" w:hint="eastAsia"/>
          <w:szCs w:val="20"/>
        </w:rPr>
        <w:t>Boutin</w:t>
      </w:r>
      <w:proofErr w:type="spellEnd"/>
      <w:r w:rsidRPr="00F73808">
        <w:rPr>
          <w:rFonts w:ascii="Times New Roman" w:hAnsi="Times New Roman" w:cs="Times New Roman" w:hint="eastAsia"/>
          <w:szCs w:val="20"/>
        </w:rPr>
        <w:t xml:space="preserve"> et al. (2013)</w:t>
      </w:r>
      <w:r w:rsidRPr="00F73808">
        <w:rPr>
          <w:rFonts w:ascii="Times New Roman" w:hAnsi="Times New Roman" w:cs="Times New Roman"/>
          <w:szCs w:val="20"/>
        </w:rPr>
        <w:t xml:space="preserve">, one possible reason for this higher market power (or competitive advantage) of member firms is that member firms could resort to </w:t>
      </w:r>
      <w:r w:rsidRPr="00F73808">
        <w:rPr>
          <w:rFonts w:ascii="Times New Roman" w:hAnsi="Times New Roman" w:cs="Times New Roman" w:hint="eastAsia"/>
          <w:szCs w:val="20"/>
        </w:rPr>
        <w:t xml:space="preserve">business </w:t>
      </w:r>
      <w:r w:rsidRPr="00F73808">
        <w:rPr>
          <w:rFonts w:ascii="Times New Roman" w:hAnsi="Times New Roman" w:cs="Times New Roman"/>
          <w:szCs w:val="20"/>
        </w:rPr>
        <w:t>groups’ deep pocket to fund R&amp;D</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advertising </w:t>
      </w:r>
      <w:r w:rsidRPr="00F73808">
        <w:rPr>
          <w:rFonts w:ascii="Times New Roman" w:hAnsi="Times New Roman" w:cs="Times New Roman" w:hint="eastAsia"/>
          <w:szCs w:val="20"/>
        </w:rPr>
        <w:t xml:space="preserve">expenses, </w:t>
      </w:r>
      <w:r w:rsidRPr="00F73808">
        <w:rPr>
          <w:rFonts w:ascii="Times New Roman" w:hAnsi="Times New Roman" w:cs="Times New Roman"/>
          <w:szCs w:val="20"/>
        </w:rPr>
        <w:t xml:space="preserve">and other capital expenditures that are essential for </w:t>
      </w:r>
      <w:r w:rsidRPr="00F73808">
        <w:rPr>
          <w:rFonts w:ascii="Times New Roman" w:hAnsi="Times New Roman" w:cs="Times New Roman" w:hint="eastAsia"/>
          <w:szCs w:val="20"/>
        </w:rPr>
        <w:t>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w:t>
      </w:r>
      <w:r w:rsidRPr="00F73808">
        <w:rPr>
          <w:rFonts w:ascii="Times New Roman" w:hAnsi="Times New Roman" w:cs="Times New Roman"/>
          <w:szCs w:val="20"/>
        </w:rPr>
        <w:t>competitive strength in the product market. Also, compared to non-member firms, member firms have significantly lower leverage and high</w:t>
      </w:r>
      <w:r w:rsidR="007852F2">
        <w:rPr>
          <w:rFonts w:ascii="Times New Roman" w:hAnsi="Times New Roman" w:cs="Times New Roman"/>
          <w:szCs w:val="20"/>
        </w:rPr>
        <w:t>er</w:t>
      </w:r>
      <w:r w:rsidRPr="00F73808">
        <w:rPr>
          <w:rFonts w:ascii="Times New Roman" w:hAnsi="Times New Roman" w:cs="Times New Roman"/>
          <w:szCs w:val="20"/>
        </w:rPr>
        <w:t xml:space="preserve"> profitability, again suggesting they are more financially heathier. </w:t>
      </w:r>
      <w:r w:rsidRPr="00F73808">
        <w:rPr>
          <w:rFonts w:ascii="Times New Roman" w:hAnsi="Times New Roman" w:cs="Times New Roman" w:hint="eastAsia"/>
          <w:szCs w:val="20"/>
        </w:rPr>
        <w:t>Interestingly</w:t>
      </w:r>
      <w:r w:rsidRPr="00F73808">
        <w:rPr>
          <w:rFonts w:ascii="Times New Roman" w:hAnsi="Times New Roman" w:cs="Times New Roman"/>
          <w:szCs w:val="20"/>
        </w:rPr>
        <w:t xml:space="preserve">, member firms have lower R&amp;D intensity </w:t>
      </w:r>
      <w:r w:rsidRPr="00F73808">
        <w:rPr>
          <w:rFonts w:ascii="Times New Roman" w:hAnsi="Times New Roman" w:cs="Times New Roman" w:hint="eastAsia"/>
          <w:szCs w:val="20"/>
        </w:rPr>
        <w:t xml:space="preserve">(0.4% of total assets) </w:t>
      </w:r>
      <w:r w:rsidRPr="00F73808">
        <w:rPr>
          <w:rFonts w:ascii="Times New Roman" w:hAnsi="Times New Roman" w:cs="Times New Roman"/>
          <w:szCs w:val="20"/>
        </w:rPr>
        <w:t>than non-member firms</w:t>
      </w:r>
      <w:r w:rsidRPr="00F73808">
        <w:rPr>
          <w:rFonts w:ascii="Times New Roman" w:hAnsi="Times New Roman" w:cs="Times New Roman" w:hint="eastAsia"/>
          <w:szCs w:val="20"/>
        </w:rPr>
        <w:t xml:space="preserve"> (0.5% of </w:t>
      </w:r>
      <w:r w:rsidRPr="00F73808">
        <w:rPr>
          <w:rFonts w:ascii="Times New Roman" w:hAnsi="Times New Roman" w:cs="Times New Roman" w:hint="eastAsia"/>
          <w:szCs w:val="20"/>
        </w:rPr>
        <w:lastRenderedPageBreak/>
        <w:t>total assets)</w:t>
      </w:r>
      <w:r w:rsidRPr="00F73808">
        <w:rPr>
          <w:rFonts w:ascii="Times New Roman" w:hAnsi="Times New Roman" w:cs="Times New Roman"/>
          <w:szCs w:val="20"/>
        </w:rPr>
        <w:t>.</w:t>
      </w:r>
    </w:p>
    <w:p w:rsidR="00F73808" w:rsidRPr="00F73808" w:rsidRDefault="00F73808" w:rsidP="00F73808">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2 about here]</w:t>
      </w:r>
    </w:p>
    <w:p w:rsidR="0030091E" w:rsidRDefault="0030091E" w:rsidP="0030091E">
      <w:pPr>
        <w:spacing w:line="480" w:lineRule="auto"/>
        <w:contextualSpacing/>
        <w:rPr>
          <w:rFonts w:ascii="Times New Roman" w:hAnsi="Times New Roman" w:cs="Times New Roman"/>
          <w:sz w:val="26"/>
          <w:szCs w:val="26"/>
        </w:rPr>
      </w:pPr>
      <w:r>
        <w:rPr>
          <w:rFonts w:ascii="Times New Roman" w:hAnsi="Times New Roman" w:cs="Times New Roman"/>
          <w:sz w:val="26"/>
          <w:szCs w:val="26"/>
        </w:rPr>
        <w:t>2. Univariate test</w:t>
      </w:r>
    </w:p>
    <w:p w:rsidR="00F73808" w:rsidRPr="0030091E" w:rsidRDefault="00F73808" w:rsidP="0030091E">
      <w:pPr>
        <w:spacing w:line="480" w:lineRule="auto"/>
        <w:ind w:firstLineChars="100" w:firstLine="200"/>
        <w:contextualSpacing/>
        <w:rPr>
          <w:rFonts w:ascii="Times New Roman" w:hAnsi="Times New Roman" w:cs="Times New Roman"/>
          <w:sz w:val="26"/>
          <w:szCs w:val="26"/>
        </w:rPr>
      </w:pPr>
      <w:r w:rsidRPr="00F73808">
        <w:rPr>
          <w:rFonts w:ascii="Times New Roman" w:hAnsi="Times New Roman" w:cs="Times New Roman"/>
          <w:szCs w:val="20"/>
        </w:rPr>
        <w:t>Before exploring the effect of industry wide business group</w:t>
      </w:r>
      <w:r w:rsidRPr="00F73808">
        <w:rPr>
          <w:rFonts w:ascii="Times New Roman" w:hAnsi="Times New Roman" w:cs="Times New Roman" w:hint="eastAsia"/>
          <w:szCs w:val="20"/>
        </w:rPr>
        <w:t xml:space="preserve"> on</w:t>
      </w:r>
      <w:r w:rsidRPr="00F73808">
        <w:rPr>
          <w:rFonts w:ascii="Times New Roman" w:hAnsi="Times New Roman" w:cs="Times New Roman"/>
          <w:szCs w:val="20"/>
        </w:rPr>
        <w:t xml:space="preserve"> financial distress risk using multivariate analysis (i.e. based on equation (4) and (5)), Table 2 present some univariate test results showing the relation between financial distress risk and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More specifically, </w:t>
      </w:r>
      <w:r w:rsidRPr="00F73808">
        <w:rPr>
          <w:rFonts w:ascii="Times New Roman" w:hAnsi="Times New Roman" w:cs="Times New Roman" w:hint="eastAsia"/>
          <w:szCs w:val="20"/>
        </w:rPr>
        <w:t xml:space="preserve">for entire industry, member firms, as well as non-member firm, </w:t>
      </w:r>
      <w:r w:rsidRPr="00F73808">
        <w:rPr>
          <w:rFonts w:ascii="Times New Roman" w:hAnsi="Times New Roman" w:cs="Times New Roman"/>
          <w:szCs w:val="20"/>
        </w:rPr>
        <w:t xml:space="preserve">we split our sample </w:t>
      </w:r>
      <w:r w:rsidRPr="00F73808">
        <w:rPr>
          <w:rFonts w:ascii="Times New Roman" w:hAnsi="Times New Roman" w:cs="Times New Roman" w:hint="eastAsia"/>
          <w:szCs w:val="20"/>
        </w:rPr>
        <w:t>into two subsamples: High BSDI and Low BSDI</w:t>
      </w:r>
      <w:r w:rsidRPr="00F73808">
        <w:rPr>
          <w:rFonts w:ascii="Times New Roman" w:hAnsi="Times New Roman" w:cs="Times New Roman"/>
          <w:szCs w:val="20"/>
        </w:rPr>
        <w:t xml:space="preserve"> based on the median value of BSDI within each year). Then we compare different measures of financial distress risk between </w:t>
      </w:r>
      <w:r w:rsidRPr="00F73808">
        <w:rPr>
          <w:rFonts w:ascii="Times New Roman" w:hAnsi="Times New Roman" w:cs="Times New Roman" w:hint="eastAsia"/>
          <w:szCs w:val="20"/>
        </w:rPr>
        <w:t>high</w:t>
      </w:r>
      <w:r w:rsidRPr="00F73808">
        <w:rPr>
          <w:rFonts w:ascii="Times New Roman" w:hAnsi="Times New Roman" w:cs="Times New Roman"/>
          <w:szCs w:val="20"/>
        </w:rPr>
        <w:t xml:space="preserve"> BSDI and </w:t>
      </w:r>
      <w:r w:rsidRPr="00F73808">
        <w:rPr>
          <w:rFonts w:ascii="Times New Roman" w:hAnsi="Times New Roman" w:cs="Times New Roman" w:hint="eastAsia"/>
          <w:szCs w:val="20"/>
        </w:rPr>
        <w:t>low</w:t>
      </w:r>
      <w:r w:rsidRPr="00F73808">
        <w:rPr>
          <w:rFonts w:ascii="Times New Roman" w:hAnsi="Times New Roman" w:cs="Times New Roman"/>
          <w:szCs w:val="20"/>
        </w:rPr>
        <w:t xml:space="preserve"> BSDI industries. The first two rows of each panel show the results for the raw value of firms’ financial distress risk measures. Both for member firms (Panel A) and non-member firms (Panel B), and thus the entire industry (Panel C), the raw value of KL-score (KM-score) is significantly lower for high BSDI industries, suggesting that business groups are actually more dominant (or more likely to engage) in safer industries. This result is somewhat inconsistent with the conventional wisdom that internal capital market increases the risk bearing capacity of member firms and allows them to engage more in risky innovative activities</w:t>
      </w:r>
      <w:r w:rsidRPr="00F73808">
        <w:rPr>
          <w:rFonts w:ascii="Times New Roman" w:hAnsi="Times New Roman" w:cs="Times New Roman" w:hint="eastAsia"/>
          <w:szCs w:val="20"/>
        </w:rPr>
        <w:t>.</w:t>
      </w:r>
      <w:r w:rsidRPr="00AF7111">
        <w:rPr>
          <w:rStyle w:val="a4"/>
        </w:rPr>
        <w:footnoteReference w:id="10"/>
      </w:r>
      <w:r w:rsidRPr="00F73808">
        <w:rPr>
          <w:rFonts w:ascii="Times New Roman" w:hAnsi="Times New Roman" w:cs="Times New Roman"/>
          <w:szCs w:val="20"/>
        </w:rPr>
        <w:t xml:space="preserve"> For example,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&lt;EndNote&gt;&lt;Cite&gt;&lt;Author&gt;Belenzon&lt;/Author&gt;&lt;Year&gt;2009&lt;/Year&gt;&lt;RecNum&gt;137&lt;/RecNum&gt;&lt;DisplayText&gt;Belenzon, Berkovitz and Bolton (2009)&lt;/DisplayText&gt;&lt;record&gt;&lt;rec-number&gt;137&lt;/rec-number&gt;&lt;foreign-keys&gt;&lt;key app="EN" db-id="0w9rezxppe2pzrezf0lpzvz3rp29t2ds5e5t"&gt;137&lt;/key&gt;&lt;/foreign-keys&gt;&lt;ref-type name="Report"&gt;27&lt;/ref-type&gt;&lt;contributors&gt;&lt;authors&gt;&lt;author&gt;Belenzon, Sharon&lt;/author&gt;&lt;author&gt;Berkovitz, Tomer&lt;/author&gt;&lt;author&gt;Bolton, Patrick&lt;/author&gt;&lt;/authors&gt;&lt;/contributors&gt;&lt;titles&gt;&lt;title&gt;Intracompany governance and innovation&lt;/title&gt;&lt;/titles&gt;&lt;dates&gt;&lt;year&gt;2009&lt;/year&gt;&lt;/dates&gt;&lt;publisher&gt;National Bureau of Economic Research&lt;/publisher&gt;&lt;urls&gt;&lt;/urls&gt;&lt;/record&gt;&lt;/Cite&gt;&lt;/EndNote&gt;</w:instrText>
      </w:r>
      <w:r w:rsidR="00886B05" w:rsidRPr="00F73808">
        <w:rPr>
          <w:rFonts w:ascii="Times New Roman" w:hAnsi="Times New Roman" w:cs="Times New Roman"/>
          <w:szCs w:val="20"/>
        </w:rPr>
        <w:fldChar w:fldCharType="separate"/>
      </w:r>
      <w:hyperlink w:anchor="_ENREF_8" w:tooltip="Belenzon, 2009 #137" w:history="1">
        <w:r w:rsidR="00F95191">
          <w:rPr>
            <w:rFonts w:ascii="Times New Roman" w:hAnsi="Times New Roman" w:cs="Times New Roman"/>
            <w:noProof/>
            <w:szCs w:val="20"/>
          </w:rPr>
          <w:t>Belenzon et al.</w:t>
        </w:r>
        <w:r w:rsidR="00710C45">
          <w:rPr>
            <w:rFonts w:ascii="Times New Roman" w:hAnsi="Times New Roman" w:cs="Times New Roman"/>
            <w:noProof/>
            <w:szCs w:val="20"/>
          </w:rPr>
          <w:t xml:space="preserve"> (2009</w:t>
        </w:r>
      </w:hyperlink>
      <w:r w:rsidR="00710C45">
        <w:rPr>
          <w:rFonts w:ascii="Times New Roman" w:hAnsi="Times New Roman" w:cs="Times New Roman"/>
          <w:noProof/>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and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&lt;EndNote&gt;&lt;Cite&gt;&lt;Author&gt;Belenzon&lt;/Author&gt;&lt;Year&gt;2010&lt;/Year&gt;&lt;RecNum&gt;134&lt;/RecNum&gt;&lt;DisplayText&gt;Belenzon and Berkovitz (2010)&lt;/DisplayText&gt;&lt;record&gt;&lt;rec-number&gt;134&lt;/rec-number&gt;&lt;foreign-keys&gt;&lt;key app="EN" db-id="0w9rezxppe2pzrezf0lpzvz3rp29t2ds5e5t"&gt;134&lt;/key&gt;&lt;/foreign-keys&gt;&lt;ref-type name="Journal Article"&gt;17&lt;/ref-type&gt;&lt;contributors&gt;&lt;authors&gt;&lt;author&gt;Belenzon, Sharon&lt;/author&gt;&lt;author&gt;Berkovitz, Tomer&lt;/author&gt;&lt;/authors&gt;&lt;/contributors&gt;&lt;titles&gt;&lt;title&gt;Innovation in business groups&lt;/title&gt;&lt;secondary-title&gt;Management Science&lt;/secondary-title&gt;&lt;/titles&gt;&lt;periodical&gt;&lt;full-title&gt;Management Science&lt;/full-title&gt;&lt;/periodical&gt;&lt;pages&gt;519-535&lt;/pages&gt;&lt;volume&gt;56&lt;/volume&gt;&lt;number&gt;3&lt;/number&gt;&lt;dates&gt;&lt;year&gt;2010&lt;/year&gt;&lt;/dates&gt;&lt;isbn&gt;0025-1909&lt;/isbn&gt;&lt;urls&gt;&lt;/urls&gt;&lt;/record&gt;&lt;/Cite&gt;&lt;/EndNote&gt;</w:instrText>
      </w:r>
      <w:r w:rsidR="00886B05" w:rsidRPr="00F73808">
        <w:rPr>
          <w:rFonts w:ascii="Times New Roman" w:hAnsi="Times New Roman" w:cs="Times New Roman"/>
          <w:szCs w:val="20"/>
        </w:rPr>
        <w:fldChar w:fldCharType="separate"/>
      </w:r>
      <w:hyperlink w:anchor="_ENREF_7" w:tooltip="Belenzon, 2010 #134" w:history="1">
        <w:r w:rsidR="00710C45" w:rsidRPr="00F73808">
          <w:rPr>
            <w:rFonts w:ascii="Times New Roman" w:hAnsi="Times New Roman" w:cs="Times New Roman"/>
            <w:szCs w:val="20"/>
          </w:rPr>
          <w:t>Belenzon and Berkovitz (2010</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show that </w:t>
      </w:r>
      <w:r w:rsidRPr="00F73808">
        <w:rPr>
          <w:rFonts w:ascii="Times New Roman" w:hAnsi="Times New Roman" w:cs="Times New Roman" w:hint="eastAsia"/>
          <w:szCs w:val="20"/>
        </w:rPr>
        <w:t xml:space="preserve">European </w:t>
      </w:r>
      <w:r w:rsidRPr="00F73808">
        <w:rPr>
          <w:rFonts w:ascii="Times New Roman" w:hAnsi="Times New Roman" w:cs="Times New Roman"/>
          <w:szCs w:val="20"/>
        </w:rPr>
        <w:t xml:space="preserve">business groups are more likely to invest in innovative ventures that have high risk as well as high expected payoffs. </w:t>
      </w:r>
    </w:p>
    <w:p w:rsid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Then in the last two rows of each panel, we </w:t>
      </w:r>
      <w:r w:rsidRPr="00F73808">
        <w:rPr>
          <w:rFonts w:ascii="Times New Roman" w:hAnsi="Times New Roman" w:cs="Times New Roman" w:hint="eastAsia"/>
          <w:szCs w:val="20"/>
        </w:rPr>
        <w:t xml:space="preserve">report industry-adjusted firm level financial distress risk. Specifically, to estimate the industry-adjusted financial distress risk, we </w:t>
      </w:r>
      <w:r w:rsidRPr="00F73808">
        <w:rPr>
          <w:rFonts w:ascii="Times New Roman" w:hAnsi="Times New Roman" w:cs="Times New Roman"/>
          <w:szCs w:val="20"/>
        </w:rPr>
        <w:t xml:space="preserve">subtract </w:t>
      </w:r>
      <w:r w:rsidRPr="00F73808">
        <w:rPr>
          <w:rFonts w:ascii="Times New Roman" w:hAnsi="Times New Roman" w:cs="Times New Roman" w:hint="eastAsia"/>
          <w:szCs w:val="20"/>
        </w:rPr>
        <w:t xml:space="preserve">industry median of financial distress risk from </w:t>
      </w:r>
      <w:r w:rsidRPr="00F73808">
        <w:rPr>
          <w:rFonts w:ascii="Times New Roman" w:hAnsi="Times New Roman" w:cs="Times New Roman"/>
          <w:szCs w:val="20"/>
        </w:rPr>
        <w:t xml:space="preserve">each firm’s financial distress risk measures (KL-score and KM-score) and analyze the relation between this adjusted financial distress risk and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w:t>
      </w:r>
      <w:r w:rsidRPr="00F73808">
        <w:rPr>
          <w:rFonts w:ascii="Times New Roman" w:hAnsi="Times New Roman" w:cs="Times New Roman" w:hint="eastAsia"/>
          <w:szCs w:val="20"/>
        </w:rPr>
        <w:t>As shown in Table 2, industry-adjusted financial distress risk is negative for member firms indicating that 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distress risk is lower than their industry median, on average, whereas distress risk of non-member firms is higher than their industry median (positive industry-adjusted distress risk). </w:t>
      </w:r>
      <w:r w:rsidRPr="00F73808">
        <w:rPr>
          <w:rFonts w:ascii="Times New Roman" w:hAnsi="Times New Roman" w:cs="Times New Roman"/>
          <w:szCs w:val="20"/>
        </w:rPr>
        <w:t xml:space="preserve">The results for member firms are consistent with the findings based on raw value of financial distress measures: industries with higher BSDI have significantly lower adjusted financial distress risk. While the difference in adjusted default measures between low and high BSDI industries tends to be lower compared to the difference based on raw </w:t>
      </w:r>
      <w:r w:rsidRPr="00F73808">
        <w:rPr>
          <w:rFonts w:ascii="Times New Roman" w:hAnsi="Times New Roman" w:cs="Times New Roman" w:hint="eastAsia"/>
          <w:szCs w:val="20"/>
        </w:rPr>
        <w:t>financial distress</w:t>
      </w:r>
      <w:r w:rsidRPr="00F73808">
        <w:rPr>
          <w:rFonts w:ascii="Times New Roman" w:hAnsi="Times New Roman" w:cs="Times New Roman"/>
          <w:szCs w:val="20"/>
        </w:rPr>
        <w:t xml:space="preserve"> risk measures, the results suggest that even after adjusting for the nature of riskiness of the industries member firms belong to, high business </w:t>
      </w:r>
      <w:r w:rsidRPr="00F73808">
        <w:rPr>
          <w:rFonts w:ascii="Times New Roman" w:hAnsi="Times New Roman" w:cs="Times New Roman"/>
          <w:szCs w:val="20"/>
        </w:rPr>
        <w:lastRenderedPageBreak/>
        <w:t xml:space="preserve">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are associated with lower member firms’ financial distress risk. However, for non-member firms the results are completely different. The industry risk level adjusted KL-score (KM-score) is significantly higher for high BSDI industries, suggesting higher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is associated with higher financial distress risk of non-member firms. Finally, the results for the entire industry seem to be driven by the non-member firms: there is also a positive relation between BSDI level and firms’ adjusted financial distress risk.</w:t>
      </w:r>
    </w:p>
    <w:p w:rsidR="00BD72E1" w:rsidRPr="00F73808" w:rsidRDefault="00BD72E1" w:rsidP="0030091E">
      <w:pPr>
        <w:spacing w:line="480" w:lineRule="auto"/>
        <w:ind w:firstLineChars="100" w:firstLine="200"/>
        <w:contextualSpacing/>
        <w:rPr>
          <w:rFonts w:ascii="Times New Roman" w:hAnsi="Times New Roman" w:cs="Times New Roman"/>
          <w:szCs w:val="20"/>
        </w:rPr>
      </w:pPr>
    </w:p>
    <w:p w:rsidR="00F73808" w:rsidRPr="0030091E" w:rsidRDefault="0030091E" w:rsidP="0030091E">
      <w:pPr>
        <w:spacing w:line="480" w:lineRule="auto"/>
        <w:contextualSpacing/>
        <w:rPr>
          <w:rFonts w:ascii="Times New Roman" w:hAnsi="Times New Roman" w:cs="Times New Roman"/>
          <w:sz w:val="26"/>
          <w:szCs w:val="26"/>
        </w:rPr>
      </w:pPr>
      <w:r w:rsidRPr="0030091E">
        <w:rPr>
          <w:rFonts w:ascii="Times New Roman" w:hAnsi="Times New Roman" w:cs="Times New Roman"/>
          <w:sz w:val="26"/>
          <w:szCs w:val="26"/>
        </w:rPr>
        <w:t>3.</w:t>
      </w:r>
      <w:r w:rsidR="00F73808" w:rsidRPr="0030091E">
        <w:rPr>
          <w:rFonts w:ascii="Times New Roman" w:hAnsi="Times New Roman" w:cs="Times New Roman"/>
          <w:sz w:val="26"/>
          <w:szCs w:val="26"/>
        </w:rPr>
        <w:t xml:space="preserve"> Multivariate analysis</w:t>
      </w: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1</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w:t>
      </w:r>
      <w:r w:rsidRPr="0030091E">
        <w:rPr>
          <w:rFonts w:ascii="Times New Roman" w:hAnsi="Times New Roman" w:cs="Times New Roman" w:hint="eastAsia"/>
          <w:sz w:val="24"/>
          <w:szCs w:val="24"/>
        </w:rPr>
        <w:t>Business group</w:t>
      </w:r>
      <w:r w:rsidRPr="0030091E">
        <w:rPr>
          <w:rFonts w:ascii="Times New Roman" w:hAnsi="Times New Roman" w:cs="Times New Roman"/>
          <w:sz w:val="24"/>
          <w:szCs w:val="24"/>
        </w:rPr>
        <w:t>’</w:t>
      </w:r>
      <w:r w:rsidRPr="0030091E">
        <w:rPr>
          <w:rFonts w:ascii="Times New Roman" w:hAnsi="Times New Roman" w:cs="Times New Roman" w:hint="eastAsia"/>
          <w:sz w:val="24"/>
          <w:szCs w:val="24"/>
        </w:rPr>
        <w:t>s influence</w:t>
      </w:r>
      <w:r w:rsidRPr="0030091E">
        <w:rPr>
          <w:rFonts w:ascii="Times New Roman" w:hAnsi="Times New Roman" w:cs="Times New Roman"/>
          <w:sz w:val="24"/>
          <w:szCs w:val="24"/>
        </w:rPr>
        <w:t xml:space="preserve"> on </w:t>
      </w:r>
      <w:r w:rsidRPr="0030091E">
        <w:rPr>
          <w:rFonts w:ascii="Times New Roman" w:hAnsi="Times New Roman" w:cs="Times New Roman" w:hint="eastAsia"/>
          <w:sz w:val="24"/>
          <w:szCs w:val="24"/>
        </w:rPr>
        <w:t>financial distress risk</w:t>
      </w:r>
      <w:r w:rsidRPr="0030091E">
        <w:rPr>
          <w:rFonts w:ascii="Times New Roman" w:hAnsi="Times New Roman" w:cs="Times New Roman"/>
          <w:sz w:val="24"/>
          <w:szCs w:val="24"/>
        </w:rPr>
        <w:t>: member firms vs. non-member firms</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The</w:t>
      </w:r>
      <w:r w:rsidRPr="00F73808">
        <w:rPr>
          <w:rFonts w:ascii="Times New Roman" w:hAnsi="Times New Roman" w:cs="Times New Roman"/>
          <w:szCs w:val="20"/>
        </w:rPr>
        <w:t xml:space="preserve"> univariate test results in Table 2 suggest that </w:t>
      </w:r>
      <w:r w:rsidRPr="00F73808">
        <w:rPr>
          <w:rFonts w:ascii="Times New Roman" w:hAnsi="Times New Roman" w:cs="Times New Roman" w:hint="eastAsia"/>
          <w:szCs w:val="20"/>
        </w:rPr>
        <w:t>when industry-wide business group influence is high, non-member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w:t>
      </w:r>
      <w:r w:rsidRPr="00F73808">
        <w:rPr>
          <w:rFonts w:ascii="Times New Roman" w:hAnsi="Times New Roman" w:cs="Times New Roman"/>
          <w:szCs w:val="20"/>
        </w:rPr>
        <w:t>distress</w:t>
      </w:r>
      <w:r w:rsidRPr="00F73808">
        <w:rPr>
          <w:rFonts w:ascii="Times New Roman" w:hAnsi="Times New Roman" w:cs="Times New Roman" w:hint="eastAsia"/>
          <w:szCs w:val="20"/>
        </w:rPr>
        <w:t xml:space="preserve"> risk is high whereas that of member firms is low.</w:t>
      </w:r>
      <w:r w:rsidRPr="00F73808">
        <w:rPr>
          <w:rFonts w:ascii="Times New Roman" w:hAnsi="Times New Roman" w:cs="Times New Roman"/>
          <w:szCs w:val="20"/>
        </w:rPr>
        <w:t xml:space="preserve"> </w:t>
      </w:r>
      <w:r w:rsidRPr="00F73808">
        <w:rPr>
          <w:rFonts w:ascii="Times New Roman" w:hAnsi="Times New Roman" w:cs="Times New Roman" w:hint="eastAsia"/>
          <w:szCs w:val="20"/>
        </w:rPr>
        <w:t>I</w:t>
      </w:r>
      <w:r w:rsidRPr="00F73808">
        <w:rPr>
          <w:rFonts w:ascii="Times New Roman" w:hAnsi="Times New Roman" w:cs="Times New Roman"/>
          <w:szCs w:val="20"/>
        </w:rPr>
        <w:t>n this section</w:t>
      </w:r>
      <w:r w:rsidRPr="00F73808">
        <w:rPr>
          <w:rFonts w:ascii="Times New Roman" w:hAnsi="Times New Roman" w:cs="Times New Roman" w:hint="eastAsia"/>
          <w:szCs w:val="20"/>
        </w:rPr>
        <w:t>,</w:t>
      </w:r>
      <w:r w:rsidRPr="00F73808">
        <w:rPr>
          <w:rFonts w:ascii="Times New Roman" w:hAnsi="Times New Roman" w:cs="Times New Roman"/>
          <w:szCs w:val="20"/>
        </w:rPr>
        <w:t xml:space="preserve"> we examine whether the </w:t>
      </w:r>
      <w:r w:rsidRPr="00F73808">
        <w:rPr>
          <w:rFonts w:ascii="Times New Roman" w:hAnsi="Times New Roman" w:cs="Times New Roman" w:hint="eastAsia"/>
          <w:szCs w:val="20"/>
        </w:rPr>
        <w:t xml:space="preserve">results </w:t>
      </w:r>
      <w:r w:rsidRPr="00F73808">
        <w:rPr>
          <w:rFonts w:ascii="Times New Roman" w:hAnsi="Times New Roman" w:cs="Times New Roman"/>
          <w:szCs w:val="20"/>
        </w:rPr>
        <w:t>hold under multivariate setting.</w:t>
      </w:r>
      <w:r w:rsidRPr="00F73808">
        <w:rPr>
          <w:rFonts w:ascii="Times New Roman" w:hAnsi="Times New Roman" w:cs="Times New Roman" w:hint="eastAsia"/>
          <w:szCs w:val="20"/>
        </w:rPr>
        <w:t xml:space="preserve"> We</w:t>
      </w:r>
      <w:r w:rsidRPr="00F73808">
        <w:rPr>
          <w:rFonts w:ascii="Times New Roman" w:hAnsi="Times New Roman" w:cs="Times New Roman"/>
          <w:szCs w:val="20"/>
        </w:rPr>
        <w:t xml:space="preserve"> follow equation (4) and regress firm level financial distress risk measures (KL-score and KM-score) on industry BSDI and other control variables that</w:t>
      </w:r>
      <w:r w:rsidRPr="00F73808">
        <w:rPr>
          <w:rFonts w:ascii="Times New Roman" w:hAnsi="Times New Roman" w:cs="Times New Roman" w:hint="eastAsia"/>
          <w:szCs w:val="20"/>
        </w:rPr>
        <w:t xml:space="preserve"> are known to be the determinants of financial distress risk by previous literature. </w:t>
      </w:r>
      <w:r w:rsidRPr="00F73808">
        <w:rPr>
          <w:rFonts w:ascii="Times New Roman" w:hAnsi="Times New Roman" w:cs="Times New Roman"/>
          <w:szCs w:val="20"/>
        </w:rPr>
        <w:t xml:space="preserve">Following </w:t>
      </w:r>
      <w:r w:rsidRPr="00F73808">
        <w:rPr>
          <w:rFonts w:ascii="Times New Roman" w:hAnsi="Times New Roman" w:cs="Times New Roman" w:hint="eastAsia"/>
          <w:szCs w:val="20"/>
        </w:rPr>
        <w:t>earlier studies</w:t>
      </w:r>
      <w:r w:rsidRPr="00F73808">
        <w:rPr>
          <w:rFonts w:ascii="Times New Roman" w:hAnsi="Times New Roman" w:cs="Times New Roman"/>
          <w:szCs w:val="20"/>
        </w:rPr>
        <w:t xml:space="preserve"> (see for example,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&lt;EndNote&gt;&lt;Cite&gt;&lt;Author&gt;Tykvova&lt;/Author&gt;&lt;Year&gt;2012&lt;/Year&gt;&lt;RecNum&gt;108&lt;/RecNum&gt;&lt;DisplayText&gt;Tykvova and Borell (2012)&lt;/DisplayText&gt;&lt;record&gt;&lt;rec-number&gt;108&lt;/rec-number&gt;&lt;foreign-keys&gt;&lt;key app="EN" db-id="0w9rezxppe2pzrezf0lpzvz3rp29t2ds5e5t"&gt;108&lt;/key&gt;&lt;/foreign-keys&gt;&lt;ref-type name="Journal Article"&gt;17&lt;/ref-type&gt;&lt;contributors&gt;&lt;authors&gt;&lt;author&gt;Tykvova, Tereza&lt;/author&gt;&lt;author&gt;Borell, Mariela&lt;/author&gt;&lt;/authors&gt;&lt;/contributors&gt;&lt;titles&gt;&lt;title&gt;Do private equity owners increase risk of financial distress and bankruptcy?&lt;/title&gt;&lt;secondary-title&gt;Journal of Corporate Finance&lt;/secondary-title&gt;&lt;/titles&gt;&lt;periodical&gt;&lt;full-title&gt;Journal of corporate finance&lt;/full-title&gt;&lt;/periodical&gt;&lt;pages&gt;138-150&lt;/pages&gt;&lt;volume&gt;18&lt;/volume&gt;&lt;number&gt;1&lt;/number&gt;&lt;dates&gt;&lt;year&gt;2012&lt;/year&gt;&lt;/dates&gt;&lt;isbn&gt;0929-1199&lt;/isbn&gt;&lt;urls&gt;&lt;/urls&gt;&lt;/record&gt;&lt;/Cite&gt;&lt;/EndNote&gt;</w:instrText>
      </w:r>
      <w:r w:rsidR="00886B05" w:rsidRPr="00F73808">
        <w:rPr>
          <w:rFonts w:ascii="Times New Roman" w:hAnsi="Times New Roman" w:cs="Times New Roman"/>
          <w:szCs w:val="20"/>
        </w:rPr>
        <w:fldChar w:fldCharType="separate"/>
      </w:r>
      <w:hyperlink w:anchor="_ENREF_34" w:tooltip="Tykvova, 2012 #108" w:history="1">
        <w:r w:rsidR="00710C45" w:rsidRPr="00F73808">
          <w:rPr>
            <w:rFonts w:ascii="Times New Roman" w:hAnsi="Times New Roman" w:cs="Times New Roman"/>
            <w:szCs w:val="20"/>
          </w:rPr>
          <w:t>Tykvova and Borell (2012</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we </w:t>
      </w:r>
      <w:r w:rsidRPr="00F73808">
        <w:rPr>
          <w:rFonts w:ascii="Times New Roman" w:hAnsi="Times New Roman" w:cs="Times New Roman" w:hint="eastAsia"/>
          <w:szCs w:val="20"/>
        </w:rPr>
        <w:t>include</w:t>
      </w:r>
      <w:r w:rsidRPr="00F73808">
        <w:rPr>
          <w:rFonts w:ascii="Times New Roman" w:hAnsi="Times New Roman" w:cs="Times New Roman"/>
          <w:szCs w:val="20"/>
        </w:rPr>
        <w:t xml:space="preserve"> firm fixed effects to control for time-invariant and unobservable firm and industry characteristics. We also include year fixed effect to account for time-varying conditions while use heteroscedasticity robust and firm level clustered standard error to calculate statistical significance following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&lt;EndNote&gt;&lt;Cite&gt;&lt;Author&gt;Tykvova&lt;/Author&gt;&lt;Year&gt;2012&lt;/Year&gt;&lt;RecNum&gt;108&lt;/RecNum&gt;&lt;DisplayText&gt;Tykvova and Borell (2012)&lt;/DisplayText&gt;&lt;record&gt;&lt;rec-number&gt;108&lt;/rec-number&gt;&lt;foreign-keys&gt;&lt;key app="EN" db-id="0w9rezxppe2pzrezf0lpzvz3rp29t2ds5e5t"&gt;108&lt;/key&gt;&lt;/foreign-keys&gt;&lt;ref-type name="Journal Article"&gt;17&lt;/ref-type&gt;&lt;contributors&gt;&lt;authors&gt;&lt;author&gt;Tykvova, Tereza&lt;/author&gt;&lt;author&gt;Borell, Mariela&lt;/author&gt;&lt;/authors&gt;&lt;/contributors&gt;&lt;titles&gt;&lt;title&gt;Do private equity owners increase risk of financial distress and bankruptcy?&lt;/title&gt;&lt;secondary-title&gt;Journal of Corporate Finance&lt;/secondary-title&gt;&lt;/titles&gt;&lt;periodical&gt;&lt;full-title&gt;Journal of corporate finance&lt;/full-title&gt;&lt;/periodical&gt;&lt;pages&gt;138-150&lt;/pages&gt;&lt;volume&gt;18&lt;/volume&gt;&lt;number&gt;1&lt;/number&gt;&lt;dates&gt;&lt;year&gt;2012&lt;/year&gt;&lt;/dates&gt;&lt;isbn&gt;0929-1199&lt;/isbn&gt;&lt;urls&gt;&lt;/urls&gt;&lt;/record&gt;&lt;/Cite&gt;&lt;/EndNote&gt;</w:instrText>
      </w:r>
      <w:r w:rsidR="00886B05" w:rsidRPr="00F73808">
        <w:rPr>
          <w:rFonts w:ascii="Times New Roman" w:hAnsi="Times New Roman" w:cs="Times New Roman"/>
          <w:szCs w:val="20"/>
        </w:rPr>
        <w:fldChar w:fldCharType="separate"/>
      </w:r>
      <w:hyperlink w:anchor="_ENREF_34" w:tooltip="Tykvova, 2012 #108" w:history="1">
        <w:r w:rsidR="00710C45" w:rsidRPr="00F73808">
          <w:rPr>
            <w:rFonts w:ascii="Times New Roman" w:hAnsi="Times New Roman" w:cs="Times New Roman"/>
            <w:szCs w:val="20"/>
          </w:rPr>
          <w:t>Tykvova and Borell (2012</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 xml:space="preserve">The results are presented in Table 3. </w:t>
      </w:r>
      <w:r w:rsidRPr="00F73808">
        <w:rPr>
          <w:rFonts w:ascii="Times New Roman" w:hAnsi="Times New Roman" w:cs="Times New Roman"/>
          <w:szCs w:val="20"/>
        </w:rPr>
        <w:t>First, the negative association between BSDI and member firms’ adjusted financial distress risk disappears under multivariate regression setting</w:t>
      </w:r>
      <w:r w:rsidRPr="00F73808">
        <w:rPr>
          <w:rFonts w:ascii="Times New Roman" w:hAnsi="Times New Roman" w:cs="Times New Roman" w:hint="eastAsia"/>
          <w:szCs w:val="20"/>
        </w:rPr>
        <w:t>.</w:t>
      </w:r>
      <w:r w:rsidRPr="00F73808">
        <w:rPr>
          <w:rFonts w:ascii="Times New Roman" w:hAnsi="Times New Roman" w:cs="Times New Roman"/>
          <w:szCs w:val="20"/>
        </w:rPr>
        <w:t xml:space="preserve"> </w:t>
      </w:r>
      <w:r w:rsidRPr="00F73808">
        <w:rPr>
          <w:rFonts w:ascii="Times New Roman" w:hAnsi="Times New Roman" w:cs="Times New Roman" w:hint="eastAsia"/>
          <w:szCs w:val="20"/>
        </w:rPr>
        <w:t>F</w:t>
      </w:r>
      <w:r w:rsidRPr="00F73808">
        <w:rPr>
          <w:rFonts w:ascii="Times New Roman" w:hAnsi="Times New Roman" w:cs="Times New Roman"/>
          <w:szCs w:val="20"/>
        </w:rPr>
        <w:t>or member-firms, the coefficients of BSDI, our main independent variable, are statistically insignificant both for KL-score and KM-score, suggesting that industry</w:t>
      </w:r>
      <w:r w:rsidRPr="00F73808">
        <w:rPr>
          <w:rFonts w:ascii="Times New Roman" w:hAnsi="Times New Roman" w:cs="Times New Roman" w:hint="eastAsia"/>
          <w:szCs w:val="20"/>
        </w:rPr>
        <w:t>-wide</w:t>
      </w:r>
      <w:r w:rsidRPr="00F73808">
        <w:rPr>
          <w:rFonts w:ascii="Times New Roman" w:hAnsi="Times New Roman" w:cs="Times New Roman"/>
          <w:szCs w:val="20"/>
        </w:rPr>
        <w:t xml:space="preserve">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has no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on member firms’ financial distress risk. However, for non-member firms, BSDI is</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significant at 1% level: it has a coefficient of 0.79 when financial distress risk is measured by KL-score and a coefficient of 1.09 when KM-score is used. </w:t>
      </w:r>
      <w:r w:rsidRPr="00F73808">
        <w:rPr>
          <w:rFonts w:ascii="Times New Roman" w:hAnsi="Times New Roman" w:cs="Times New Roman" w:hint="eastAsia"/>
          <w:szCs w:val="20"/>
        </w:rPr>
        <w:t>When</w:t>
      </w:r>
      <w:r w:rsidRPr="00F73808">
        <w:rPr>
          <w:rFonts w:ascii="Times New Roman" w:hAnsi="Times New Roman" w:cs="Times New Roman"/>
          <w:szCs w:val="20"/>
        </w:rPr>
        <w:t xml:space="preserve"> we compare BSDI’s coefficient</w:t>
      </w:r>
      <w:r w:rsidRPr="00F73808">
        <w:rPr>
          <w:rFonts w:ascii="Times New Roman" w:hAnsi="Times New Roman" w:cs="Times New Roman" w:hint="eastAsia"/>
          <w:szCs w:val="20"/>
        </w:rPr>
        <w:t>s</w:t>
      </w:r>
      <w:r w:rsidRPr="00F73808">
        <w:rPr>
          <w:rFonts w:ascii="Times New Roman" w:hAnsi="Times New Roman" w:cs="Times New Roman"/>
          <w:szCs w:val="20"/>
        </w:rPr>
        <w:t xml:space="preserve"> between member firms and non-member firms, the coefficient </w:t>
      </w:r>
      <w:r w:rsidRPr="00F73808">
        <w:rPr>
          <w:rFonts w:ascii="Times New Roman" w:hAnsi="Times New Roman" w:cs="Times New Roman" w:hint="eastAsia"/>
          <w:szCs w:val="20"/>
        </w:rPr>
        <w:t xml:space="preserve">for non-member firms </w:t>
      </w:r>
      <w:r w:rsidRPr="00F73808">
        <w:rPr>
          <w:rFonts w:ascii="Times New Roman" w:hAnsi="Times New Roman" w:cs="Times New Roman"/>
          <w:szCs w:val="20"/>
        </w:rPr>
        <w:t xml:space="preserve">is almost </w:t>
      </w:r>
      <w:r w:rsidRPr="00F73808">
        <w:rPr>
          <w:rFonts w:ascii="Times New Roman" w:hAnsi="Times New Roman" w:cs="Times New Roman" w:hint="eastAsia"/>
          <w:szCs w:val="20"/>
        </w:rPr>
        <w:t xml:space="preserve">two times </w:t>
      </w:r>
      <w:r w:rsidRPr="00F73808">
        <w:rPr>
          <w:rFonts w:ascii="Times New Roman" w:hAnsi="Times New Roman" w:cs="Times New Roman"/>
          <w:szCs w:val="20"/>
        </w:rPr>
        <w:t xml:space="preserve">larger </w:t>
      </w:r>
      <w:r w:rsidRPr="00F73808">
        <w:rPr>
          <w:rFonts w:ascii="Times New Roman" w:hAnsi="Times New Roman" w:cs="Times New Roman" w:hint="eastAsia"/>
          <w:szCs w:val="20"/>
        </w:rPr>
        <w:t xml:space="preserve">than that </w:t>
      </w:r>
      <w:r w:rsidRPr="00F73808">
        <w:rPr>
          <w:rFonts w:ascii="Times New Roman" w:hAnsi="Times New Roman" w:cs="Times New Roman"/>
          <w:szCs w:val="20"/>
        </w:rPr>
        <w:t>for member firms</w:t>
      </w:r>
      <w:r w:rsidRPr="00F73808">
        <w:rPr>
          <w:rFonts w:ascii="Times New Roman" w:hAnsi="Times New Roman" w:cs="Times New Roman" w:hint="eastAsia"/>
          <w:szCs w:val="20"/>
        </w:rPr>
        <w:t>.</w:t>
      </w:r>
      <w:r w:rsidRPr="00F73808">
        <w:rPr>
          <w:rFonts w:ascii="Times New Roman" w:hAnsi="Times New Roman" w:cs="Times New Roman"/>
          <w:szCs w:val="20"/>
        </w:rPr>
        <w:t xml:space="preserve"> </w:t>
      </w:r>
      <w:r w:rsidRPr="00F73808">
        <w:rPr>
          <w:rFonts w:ascii="Times New Roman" w:hAnsi="Times New Roman" w:cs="Times New Roman" w:hint="eastAsia"/>
          <w:szCs w:val="20"/>
        </w:rPr>
        <w:t>T</w:t>
      </w:r>
      <w:r w:rsidRPr="00F73808">
        <w:rPr>
          <w:rFonts w:ascii="Times New Roman" w:hAnsi="Times New Roman" w:cs="Times New Roman"/>
          <w:szCs w:val="20"/>
        </w:rPr>
        <w:t xml:space="preserve">hese results </w:t>
      </w:r>
      <w:r w:rsidRPr="00F73808">
        <w:rPr>
          <w:rFonts w:ascii="Times New Roman" w:hAnsi="Times New Roman" w:cs="Times New Roman" w:hint="eastAsia"/>
          <w:szCs w:val="20"/>
        </w:rPr>
        <w:t>support</w:t>
      </w:r>
      <w:r w:rsidRPr="00F73808">
        <w:rPr>
          <w:rFonts w:ascii="Times New Roman" w:hAnsi="Times New Roman" w:cs="Times New Roman"/>
          <w:szCs w:val="20"/>
        </w:rPr>
        <w:t xml:space="preserve"> Hypothesis 1: industry</w:t>
      </w:r>
      <w:r w:rsidRPr="00F73808">
        <w:rPr>
          <w:rFonts w:ascii="Times New Roman" w:hAnsi="Times New Roman" w:cs="Times New Roman" w:hint="eastAsia"/>
          <w:szCs w:val="20"/>
        </w:rPr>
        <w:t>-</w:t>
      </w:r>
      <w:r w:rsidRPr="00F73808">
        <w:rPr>
          <w:rFonts w:ascii="Times New Roman" w:hAnsi="Times New Roman" w:cs="Times New Roman"/>
          <w:szCs w:val="20"/>
        </w:rPr>
        <w:t xml:space="preserve">wide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w:t>
      </w:r>
      <w:r w:rsidRPr="00F73808">
        <w:rPr>
          <w:rFonts w:ascii="Times New Roman" w:hAnsi="Times New Roman" w:cs="Times New Roman" w:hint="eastAsia"/>
          <w:szCs w:val="20"/>
        </w:rPr>
        <w:t>increases</w:t>
      </w:r>
      <w:r w:rsidRPr="00F73808">
        <w:rPr>
          <w:rFonts w:ascii="Times New Roman" w:hAnsi="Times New Roman" w:cs="Times New Roman"/>
          <w:szCs w:val="20"/>
        </w:rPr>
        <w:t xml:space="preserve"> non-member firms’</w:t>
      </w:r>
      <w:r w:rsidRPr="00F73808">
        <w:rPr>
          <w:rFonts w:ascii="Times New Roman" w:hAnsi="Times New Roman" w:cs="Times New Roman" w:hint="eastAsia"/>
          <w:szCs w:val="20"/>
        </w:rPr>
        <w:t xml:space="preserve"> </w:t>
      </w:r>
      <w:r w:rsidRPr="00F73808">
        <w:rPr>
          <w:rFonts w:ascii="Times New Roman" w:hAnsi="Times New Roman" w:cs="Times New Roman"/>
          <w:szCs w:val="20"/>
        </w:rPr>
        <w:t>distress</w:t>
      </w:r>
      <w:r w:rsidRPr="00F73808">
        <w:rPr>
          <w:rFonts w:ascii="Times New Roman" w:hAnsi="Times New Roman" w:cs="Times New Roman" w:hint="eastAsia"/>
          <w:szCs w:val="20"/>
        </w:rPr>
        <w:t xml:space="preserve"> risk</w:t>
      </w:r>
      <w:r w:rsidRPr="00F73808">
        <w:rPr>
          <w:rFonts w:ascii="Times New Roman" w:hAnsi="Times New Roman" w:cs="Times New Roman"/>
          <w:szCs w:val="20"/>
        </w:rPr>
        <w:t xml:space="preserve">, but has no significant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on member firms.</w:t>
      </w:r>
    </w:p>
    <w:p w:rsidR="00F73808" w:rsidRP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3 about here]</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A</w:t>
      </w:r>
      <w:r w:rsidR="0099205A">
        <w:rPr>
          <w:rFonts w:ascii="Times New Roman" w:hAnsi="Times New Roman" w:cs="Times New Roman"/>
          <w:szCs w:val="20"/>
        </w:rPr>
        <w:t>s stated in S</w:t>
      </w:r>
      <w:r w:rsidRPr="00F73808">
        <w:rPr>
          <w:rFonts w:ascii="Times New Roman" w:hAnsi="Times New Roman" w:cs="Times New Roman"/>
          <w:szCs w:val="20"/>
        </w:rPr>
        <w:t xml:space="preserve">ection </w:t>
      </w:r>
      <w:r w:rsidR="00886B05">
        <w:rPr>
          <w:rFonts w:ascii="Times New Roman" w:hAnsi="Times New Roman" w:cs="Times New Roman"/>
          <w:szCs w:val="20"/>
        </w:rPr>
        <w:fldChar w:fldCharType="begin"/>
      </w:r>
      <w:r w:rsidR="0099205A">
        <w:rPr>
          <w:rFonts w:ascii="Times New Roman" w:eastAsia="SimSun" w:hAnsi="Times New Roman" w:cs="Times New Roman"/>
          <w:szCs w:val="20"/>
          <w:lang w:eastAsia="zh-CN"/>
        </w:rPr>
        <w:instrText xml:space="preserve"> </w:instrText>
      </w:r>
      <w:r w:rsidR="0099205A">
        <w:rPr>
          <w:rFonts w:ascii="Times New Roman" w:eastAsia="SimSun" w:hAnsi="Times New Roman" w:cs="Times New Roman" w:hint="eastAsia"/>
          <w:szCs w:val="20"/>
          <w:lang w:eastAsia="zh-CN"/>
        </w:rPr>
        <w:instrText>= 3 \* ROMAN</w:instrText>
      </w:r>
      <w:r w:rsidR="0099205A">
        <w:rPr>
          <w:rFonts w:ascii="Times New Roman" w:eastAsia="SimSun" w:hAnsi="Times New Roman" w:cs="Times New Roman"/>
          <w:szCs w:val="20"/>
          <w:lang w:eastAsia="zh-CN"/>
        </w:rPr>
        <w:instrText xml:space="preserve"> </w:instrText>
      </w:r>
      <w:r w:rsidR="00886B05">
        <w:rPr>
          <w:rFonts w:ascii="Times New Roman" w:hAnsi="Times New Roman" w:cs="Times New Roman"/>
          <w:szCs w:val="20"/>
        </w:rPr>
        <w:fldChar w:fldCharType="separate"/>
      </w:r>
      <w:r w:rsidR="0099205A">
        <w:rPr>
          <w:rFonts w:ascii="Times New Roman" w:eastAsia="SimSun" w:hAnsi="Times New Roman" w:cs="Times New Roman"/>
          <w:noProof/>
          <w:szCs w:val="20"/>
          <w:lang w:eastAsia="zh-CN"/>
        </w:rPr>
        <w:t>III</w:t>
      </w:r>
      <w:r w:rsidR="00886B05">
        <w:rPr>
          <w:rFonts w:ascii="Times New Roman" w:hAnsi="Times New Roman" w:cs="Times New Roman"/>
          <w:szCs w:val="20"/>
        </w:rPr>
        <w:fldChar w:fldCharType="end"/>
      </w:r>
      <w:r w:rsidRPr="00F73808">
        <w:rPr>
          <w:rFonts w:ascii="Times New Roman" w:hAnsi="Times New Roman" w:cs="Times New Roman"/>
          <w:szCs w:val="20"/>
        </w:rPr>
        <w:t>, under the assumption that internal capital market has nothing to do with member firms’ market share (although both existing study (for example,</w:t>
      </w:r>
      <w:r w:rsidRPr="00F73808">
        <w:rPr>
          <w:rFonts w:ascii="Times New Roman" w:hAnsi="Times New Roman" w:cs="Times New Roman" w:hint="eastAsia"/>
          <w:szCs w:val="20"/>
        </w:rPr>
        <w:t xml:space="preserve"> </w:t>
      </w:r>
      <w:proofErr w:type="spellStart"/>
      <w:r w:rsidRPr="00F73808">
        <w:rPr>
          <w:rFonts w:ascii="Times New Roman" w:hAnsi="Times New Roman" w:cs="Times New Roman" w:hint="eastAsia"/>
          <w:szCs w:val="20"/>
        </w:rPr>
        <w:t>Skaliz</w:t>
      </w:r>
      <w:proofErr w:type="spellEnd"/>
      <w:r w:rsidRPr="00F73808">
        <w:rPr>
          <w:rFonts w:ascii="Times New Roman" w:hAnsi="Times New Roman" w:cs="Times New Roman" w:hint="eastAsia"/>
          <w:szCs w:val="20"/>
        </w:rPr>
        <w:t xml:space="preserve"> (2002),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&lt;EndNote&gt;&lt;Cite&gt;&lt;Author&gt;Baek&lt;/Author&gt;&lt;Year&gt;2004&lt;/Year&gt;&lt;RecNum&gt;69&lt;/RecNum&gt;&lt;DisplayText&gt;Baek, Kang and Park (2004)&lt;/DisplayText&gt;&lt;record&gt;&lt;rec-number&gt;69&lt;/rec-number&gt;&lt;foreign-keys&gt;&lt;key app="EN" db-id="0w9rezxppe2pzrezf0lpzvz3rp29t2ds5e5t"&gt;69&lt;/key&gt;&lt;/foreign-keys&gt;&lt;ref-type name="Journal Article"&gt;17&lt;/ref-type&gt;&lt;contributors&gt;&lt;authors&gt;&lt;author&gt;Baek, Jae-Seung&lt;/author&gt;&lt;author&gt;Kang, Jun-Koo&lt;/author&gt;&lt;author&gt;Park, Kyung Suh&lt;/author&gt;&lt;/authors&gt;&lt;/contributors&gt;&lt;titles&gt;&lt;title&gt;Corporate governance and firm value: Evidence from the Korean financial crisis&lt;/title&gt;&lt;secondary-title&gt;Journal of Financial economics&lt;/secondary-title&gt;&lt;/titles&gt;&lt;periodical&gt;&lt;full-title&gt;Journal of Financial Economics&lt;/full-title&gt;&lt;/periodical&gt;&lt;pages&gt;265-313&lt;/pages&gt;&lt;volume&gt;71&lt;/volume&gt;&lt;number&gt;2&lt;/number&gt;&lt;dates&gt;&lt;year&gt;2004&lt;/year&gt;&lt;/dates&gt;&lt;isbn&gt;0304-405X&lt;/isbn&gt;&lt;urls&gt;&lt;/urls&gt;&lt;/record&gt;&lt;/Cite&gt;&lt;/EndNote&gt;</w:instrText>
      </w:r>
      <w:r w:rsidR="00886B05" w:rsidRPr="00F73808">
        <w:rPr>
          <w:rFonts w:ascii="Times New Roman" w:hAnsi="Times New Roman" w:cs="Times New Roman"/>
          <w:szCs w:val="20"/>
        </w:rPr>
        <w:fldChar w:fldCharType="separate"/>
      </w:r>
      <w:hyperlink w:anchor="_ENREF_6" w:tooltip="Baek, 2004 #69" w:history="1">
        <w:r w:rsidR="007852F2">
          <w:rPr>
            <w:rFonts w:ascii="Times New Roman" w:hAnsi="Times New Roman" w:cs="Times New Roman"/>
            <w:szCs w:val="20"/>
          </w:rPr>
          <w:t>Baek et al.</w:t>
        </w:r>
        <w:r w:rsidR="00710C45" w:rsidRPr="00F73808">
          <w:rPr>
            <w:rFonts w:ascii="Times New Roman" w:hAnsi="Times New Roman" w:cs="Times New Roman"/>
            <w:szCs w:val="20"/>
          </w:rPr>
          <w:t xml:space="preserve"> (2004</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hint="eastAsia"/>
          <w:szCs w:val="20"/>
        </w:rPr>
        <w:t>,</w:t>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&lt;EndNote&gt;&lt;Cite&gt;&lt;Author&gt;Boutin&lt;/Author&gt;&lt;Year&gt;2013&lt;/Year&gt;&lt;RecNum&gt;129&lt;/RecNum&gt;&lt;DisplayText&gt;Boutin, Cestone, Fumagalli, Pica and Serrano-Velarde (2013)&lt;/DisplayText&gt;&lt;record&gt;&lt;rec-number&gt;129&lt;/rec-number&gt;&lt;foreign-keys&gt;&lt;key app="EN" db-id="0w9rezxppe2pzrezf0lpzvz3rp29t2ds5e5t"&gt;129&lt;/key&gt;&lt;/foreign-keys&gt;&lt;ref-type name="Journal Article"&gt;17&lt;/ref-type&gt;&lt;contributors&gt;&lt;authors&gt;&lt;author&gt;Boutin, Xavier&lt;/author&gt;&lt;author&gt;Cestone, Giacinta&lt;/author&gt;&lt;author&gt;Fumagalli, Chiara&lt;/author&gt;&lt;author&gt;Pica, Giovanni&lt;/author&gt;&lt;author&gt;Serrano-Velarde, Nicolas&lt;/author&gt;&lt;/authors&gt;&lt;/contributors&gt;&lt;titles&gt;&lt;title&gt;The deep-pocket effect of internal capital markets&lt;/title&gt;&lt;secondary-title&gt;Journal of Financial Economics&lt;/secondary-title&gt;&lt;/titles&gt;&lt;periodical&gt;&lt;full-title&gt;Journal of Financial Economics&lt;/full-title&gt;&lt;/periodical&gt;&lt;pages&gt;122-145&lt;/pages&gt;&lt;volume&gt;109&lt;/volume&gt;&lt;number&gt;1&lt;/number&gt;&lt;dates&gt;&lt;year&gt;2013&lt;/year&gt;&lt;/dates&gt;&lt;isbn&gt;0304-405X&lt;/isbn&gt;&lt;urls&gt;&lt;/urls&gt;&lt;/record&gt;&lt;/Cite&gt;&lt;/EndNote&gt;</w:instrText>
      </w:r>
      <w:r w:rsidR="00886B05" w:rsidRPr="00F73808">
        <w:rPr>
          <w:rFonts w:ascii="Times New Roman" w:hAnsi="Times New Roman" w:cs="Times New Roman"/>
          <w:szCs w:val="20"/>
        </w:rPr>
        <w:fldChar w:fldCharType="separate"/>
      </w:r>
      <w:hyperlink w:anchor="_ENREF_10" w:tooltip="Boutin, 2013 #129" w:history="1">
        <w:r w:rsidR="00CB5C3F">
          <w:rPr>
            <w:rFonts w:ascii="Times New Roman" w:hAnsi="Times New Roman" w:cs="Times New Roman"/>
            <w:noProof/>
            <w:szCs w:val="20"/>
          </w:rPr>
          <w:t>Boutin et al.</w:t>
        </w:r>
        <w:r w:rsidR="00710C45">
          <w:rPr>
            <w:rFonts w:ascii="Times New Roman" w:hAnsi="Times New Roman" w:cs="Times New Roman"/>
            <w:noProof/>
            <w:szCs w:val="20"/>
          </w:rPr>
          <w:t xml:space="preserve"> </w:t>
        </w:r>
        <w:r w:rsidR="00710C45">
          <w:rPr>
            <w:rFonts w:ascii="Times New Roman" w:hAnsi="Times New Roman" w:cs="Times New Roman"/>
            <w:noProof/>
            <w:szCs w:val="20"/>
          </w:rPr>
          <w:lastRenderedPageBreak/>
          <w:t>(2013</w:t>
        </w:r>
      </w:hyperlink>
      <w:r w:rsidR="00710C45">
        <w:rPr>
          <w:rFonts w:ascii="Times New Roman" w:hAnsi="Times New Roman" w:cs="Times New Roman"/>
          <w:noProof/>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and the result of Table 1 suggest this is not the case), one might </w:t>
      </w:r>
      <w:r w:rsidRPr="00F73808">
        <w:rPr>
          <w:rFonts w:ascii="Times New Roman" w:hAnsi="Times New Roman" w:cs="Times New Roman" w:hint="eastAsia"/>
          <w:szCs w:val="20"/>
        </w:rPr>
        <w:t xml:space="preserve">still </w:t>
      </w:r>
      <w:r w:rsidRPr="00F73808">
        <w:rPr>
          <w:rFonts w:ascii="Times New Roman" w:hAnsi="Times New Roman" w:cs="Times New Roman"/>
          <w:szCs w:val="20"/>
        </w:rPr>
        <w:t xml:space="preserve">argue that the results </w:t>
      </w:r>
      <w:r w:rsidRPr="00F73808">
        <w:rPr>
          <w:rFonts w:ascii="Times New Roman" w:hAnsi="Times New Roman" w:cs="Times New Roman" w:hint="eastAsia"/>
          <w:szCs w:val="20"/>
        </w:rPr>
        <w:t>above</w:t>
      </w:r>
      <w:r w:rsidRPr="00F73808">
        <w:rPr>
          <w:rFonts w:ascii="Times New Roman" w:hAnsi="Times New Roman" w:cs="Times New Roman"/>
          <w:szCs w:val="20"/>
        </w:rPr>
        <w:t xml:space="preserve"> </w:t>
      </w:r>
      <w:r w:rsidRPr="00F73808">
        <w:rPr>
          <w:rFonts w:ascii="Times New Roman" w:hAnsi="Times New Roman" w:cs="Times New Roman" w:hint="eastAsia"/>
          <w:szCs w:val="20"/>
        </w:rPr>
        <w:t>can be driven by</w:t>
      </w:r>
      <w:r w:rsidRPr="00F73808">
        <w:rPr>
          <w:rFonts w:ascii="Times New Roman" w:hAnsi="Times New Roman" w:cs="Times New Roman"/>
          <w:szCs w:val="20"/>
        </w:rPr>
        <w:t xml:space="preserve"> just a </w:t>
      </w:r>
      <w:r w:rsidRPr="00F73808">
        <w:rPr>
          <w:rFonts w:ascii="Times New Roman" w:hAnsi="Times New Roman" w:cs="Times New Roman" w:hint="eastAsia"/>
          <w:szCs w:val="20"/>
        </w:rPr>
        <w:t xml:space="preserve">pure </w:t>
      </w:r>
      <w:r w:rsidRPr="00F73808">
        <w:rPr>
          <w:rFonts w:ascii="Times New Roman" w:hAnsi="Times New Roman" w:cs="Times New Roman"/>
          <w:szCs w:val="20"/>
        </w:rPr>
        <w:t>market share effect</w:t>
      </w:r>
      <w:r w:rsidRPr="00F73808">
        <w:rPr>
          <w:rFonts w:ascii="Times New Roman" w:hAnsi="Times New Roman" w:cs="Times New Roman" w:hint="eastAsia"/>
          <w:szCs w:val="20"/>
        </w:rPr>
        <w:t>,</w:t>
      </w:r>
      <w:r w:rsidRPr="00F73808">
        <w:rPr>
          <w:rFonts w:ascii="Times New Roman" w:hAnsi="Times New Roman" w:cs="Times New Roman"/>
          <w:szCs w:val="20"/>
        </w:rPr>
        <w:t xml:space="preserve"> since member firms’ market share is </w:t>
      </w:r>
      <w:r w:rsidRPr="00F73808">
        <w:rPr>
          <w:rFonts w:ascii="Times New Roman" w:hAnsi="Times New Roman" w:cs="Times New Roman" w:hint="eastAsia"/>
          <w:szCs w:val="20"/>
        </w:rPr>
        <w:t xml:space="preserve">one of the components </w:t>
      </w:r>
      <w:r w:rsidRPr="00F73808">
        <w:rPr>
          <w:rFonts w:ascii="Times New Roman" w:hAnsi="Times New Roman" w:cs="Times New Roman"/>
          <w:szCs w:val="20"/>
        </w:rPr>
        <w:t>in BSDI</w:t>
      </w:r>
      <w:r w:rsidRPr="00F73808">
        <w:rPr>
          <w:rFonts w:ascii="Times New Roman" w:hAnsi="Times New Roman" w:cs="Times New Roman" w:hint="eastAsia"/>
          <w:szCs w:val="20"/>
        </w:rPr>
        <w:t xml:space="preserve"> construction</w:t>
      </w:r>
      <w:r w:rsidRPr="00F73808">
        <w:rPr>
          <w:rFonts w:ascii="Times New Roman" w:hAnsi="Times New Roman" w:cs="Times New Roman"/>
          <w:szCs w:val="20"/>
        </w:rPr>
        <w:t>. To alleviate this concern</w:t>
      </w:r>
      <w:r w:rsidRPr="00F73808">
        <w:rPr>
          <w:rFonts w:ascii="Times New Roman" w:hAnsi="Times New Roman" w:cs="Times New Roman" w:hint="eastAsia"/>
          <w:szCs w:val="20"/>
        </w:rPr>
        <w:t>,</w:t>
      </w:r>
      <w:r w:rsidRPr="00F73808">
        <w:rPr>
          <w:rFonts w:ascii="Times New Roman" w:hAnsi="Times New Roman" w:cs="Times New Roman"/>
          <w:szCs w:val="20"/>
        </w:rPr>
        <w:t xml:space="preserve"> we decompose BSDI into BG MKT Share and ICM Size based on equation (3) and </w:t>
      </w:r>
      <w:proofErr w:type="gramStart"/>
      <w:r w:rsidRPr="00F73808">
        <w:rPr>
          <w:rFonts w:ascii="Times New Roman" w:hAnsi="Times New Roman" w:cs="Times New Roman"/>
          <w:szCs w:val="20"/>
        </w:rPr>
        <w:t>re-estimate</w:t>
      </w:r>
      <w:proofErr w:type="gramEnd"/>
      <w:r w:rsidRPr="00F73808">
        <w:rPr>
          <w:rFonts w:ascii="Times New Roman" w:hAnsi="Times New Roman" w:cs="Times New Roman"/>
          <w:szCs w:val="20"/>
        </w:rPr>
        <w:t xml:space="preserve"> the above regressions by substituting BSDI with BG MKT Share and ICM Size (as shown in equation (5)). The results for member firms and non-member firms are shown in the second/fourth and sixth/eighth columns of Table 3, respectively. For member firms, the coefficients of BG MKT Share and ICM Size are also lack of statistical significance</w:t>
      </w:r>
      <w:r w:rsidRPr="00F73808">
        <w:rPr>
          <w:rFonts w:ascii="Times New Roman" w:hAnsi="Times New Roman" w:cs="Times New Roman" w:hint="eastAsia"/>
          <w:szCs w:val="20"/>
        </w:rPr>
        <w:t xml:space="preserve">, confirming </w:t>
      </w:r>
      <w:r w:rsidRPr="00F73808">
        <w:rPr>
          <w:rFonts w:ascii="Times New Roman" w:hAnsi="Times New Roman" w:cs="Times New Roman"/>
          <w:szCs w:val="20"/>
        </w:rPr>
        <w:t>insignificant</w:t>
      </w:r>
      <w:r w:rsidRPr="00F73808">
        <w:rPr>
          <w:rFonts w:ascii="Times New Roman" w:hAnsi="Times New Roman" w:cs="Times New Roman" w:hint="eastAsia"/>
          <w:szCs w:val="20"/>
        </w:rPr>
        <w:t xml:space="preserve"> effect of BSDI on 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distress risk</w:t>
      </w:r>
      <w:r w:rsidRPr="00F73808">
        <w:rPr>
          <w:rFonts w:ascii="Times New Roman" w:hAnsi="Times New Roman" w:cs="Times New Roman"/>
          <w:szCs w:val="20"/>
        </w:rPr>
        <w:t xml:space="preserve">. </w:t>
      </w:r>
      <w:r w:rsidRPr="00F73808">
        <w:rPr>
          <w:rFonts w:ascii="Times New Roman" w:hAnsi="Times New Roman" w:cs="Times New Roman" w:hint="eastAsia"/>
          <w:szCs w:val="20"/>
        </w:rPr>
        <w:t>F</w:t>
      </w:r>
      <w:r w:rsidRPr="00F73808">
        <w:rPr>
          <w:rFonts w:ascii="Times New Roman" w:hAnsi="Times New Roman" w:cs="Times New Roman"/>
          <w:szCs w:val="20"/>
        </w:rPr>
        <w:t xml:space="preserve">or non-member firms, </w:t>
      </w:r>
      <w:r w:rsidRPr="00F73808">
        <w:rPr>
          <w:rFonts w:ascii="Times New Roman" w:hAnsi="Times New Roman" w:cs="Times New Roman" w:hint="eastAsia"/>
          <w:szCs w:val="20"/>
        </w:rPr>
        <w:t xml:space="preserve">however, </w:t>
      </w:r>
      <w:r w:rsidRPr="00F73808">
        <w:rPr>
          <w:rFonts w:ascii="Times New Roman" w:hAnsi="Times New Roman" w:cs="Times New Roman"/>
          <w:szCs w:val="20"/>
        </w:rPr>
        <w:t xml:space="preserve">the coefficient of BG MKT Share is significantly positive, just as expected. While the coefficients are even larger in magnitude compared to that of the original BSDI, it could be possible that they are just proxies for a pure market </w:t>
      </w:r>
      <w:r w:rsidRPr="00F73808">
        <w:rPr>
          <w:rFonts w:ascii="Times New Roman" w:hAnsi="Times New Roman" w:cs="Times New Roman" w:hint="eastAsia"/>
          <w:szCs w:val="20"/>
        </w:rPr>
        <w:t xml:space="preserve">share </w:t>
      </w:r>
      <w:r w:rsidRPr="00F73808">
        <w:rPr>
          <w:rFonts w:ascii="Times New Roman" w:hAnsi="Times New Roman" w:cs="Times New Roman"/>
          <w:szCs w:val="20"/>
        </w:rPr>
        <w:t>effect. What truly di</w:t>
      </w:r>
      <w:r w:rsidRPr="00F73808">
        <w:rPr>
          <w:rFonts w:ascii="Times New Roman" w:hAnsi="Times New Roman" w:cs="Times New Roman" w:hint="eastAsia"/>
          <w:szCs w:val="20"/>
        </w:rPr>
        <w:t>fferentiates</w:t>
      </w:r>
      <w:r w:rsidRPr="00F73808">
        <w:rPr>
          <w:rFonts w:ascii="Times New Roman" w:hAnsi="Times New Roman" w:cs="Times New Roman"/>
          <w:szCs w:val="20"/>
        </w:rPr>
        <w:t xml:space="preserve"> our story (the externality of the internal capital market) from the market</w:t>
      </w:r>
      <w:r w:rsidRPr="00F73808">
        <w:rPr>
          <w:rFonts w:ascii="Times New Roman" w:hAnsi="Times New Roman" w:cs="Times New Roman" w:hint="eastAsia"/>
          <w:szCs w:val="20"/>
        </w:rPr>
        <w:t xml:space="preserve"> share</w:t>
      </w:r>
      <w:r w:rsidRPr="00F73808">
        <w:rPr>
          <w:rFonts w:ascii="Times New Roman" w:hAnsi="Times New Roman" w:cs="Times New Roman"/>
          <w:szCs w:val="20"/>
        </w:rPr>
        <w:t xml:space="preserve"> effect hypothesis (assuming no impact of internal capital market on member firms’ market share) </w:t>
      </w:r>
      <w:r w:rsidRPr="00F73808">
        <w:rPr>
          <w:rFonts w:ascii="Times New Roman" w:hAnsi="Times New Roman" w:cs="Times New Roman" w:hint="eastAsia"/>
          <w:szCs w:val="20"/>
        </w:rPr>
        <w:t>is from the results on</w:t>
      </w:r>
      <w:r w:rsidRPr="00F73808">
        <w:rPr>
          <w:rFonts w:ascii="Times New Roman" w:hAnsi="Times New Roman" w:cs="Times New Roman"/>
          <w:szCs w:val="20"/>
        </w:rPr>
        <w:t xml:space="preserve"> ICM Size. </w:t>
      </w:r>
      <w:r w:rsidRPr="00F73808">
        <w:rPr>
          <w:rFonts w:ascii="Times New Roman" w:hAnsi="Times New Roman" w:cs="Times New Roman" w:hint="eastAsia"/>
          <w:szCs w:val="20"/>
        </w:rPr>
        <w:t>T</w:t>
      </w:r>
      <w:r w:rsidRPr="00F73808">
        <w:rPr>
          <w:rFonts w:ascii="Times New Roman" w:hAnsi="Times New Roman" w:cs="Times New Roman"/>
          <w:szCs w:val="20"/>
        </w:rPr>
        <w:t>he coefficients of ICM Size are highly significant</w:t>
      </w:r>
      <w:r w:rsidRPr="00F73808">
        <w:rPr>
          <w:rFonts w:ascii="Times New Roman" w:hAnsi="Times New Roman" w:cs="Times New Roman" w:hint="eastAsia"/>
          <w:szCs w:val="20"/>
        </w:rPr>
        <w:t xml:space="preserve"> even after taking into account the market share effect (BG MKT Share)</w:t>
      </w:r>
      <w:r w:rsidRPr="00F73808">
        <w:rPr>
          <w:rFonts w:ascii="Times New Roman" w:hAnsi="Times New Roman" w:cs="Times New Roman"/>
          <w:szCs w:val="20"/>
        </w:rPr>
        <w:t>. Since ICM Size only contains information about internal capital market</w:t>
      </w:r>
      <w:r w:rsidRPr="00F73808">
        <w:rPr>
          <w:rFonts w:ascii="Times New Roman" w:hAnsi="Times New Roman" w:cs="Times New Roman" w:hint="eastAsia"/>
          <w:szCs w:val="20"/>
        </w:rPr>
        <w:t xml:space="preserve"> size</w:t>
      </w:r>
      <w:r w:rsidRPr="00F73808">
        <w:rPr>
          <w:rFonts w:ascii="Times New Roman" w:hAnsi="Times New Roman" w:cs="Times New Roman"/>
          <w:szCs w:val="20"/>
        </w:rPr>
        <w:t xml:space="preserve"> by construction, the results suggest that industry</w:t>
      </w:r>
      <w:r w:rsidRPr="00F73808">
        <w:rPr>
          <w:rFonts w:ascii="Times New Roman" w:hAnsi="Times New Roman" w:cs="Times New Roman" w:hint="eastAsia"/>
          <w:szCs w:val="20"/>
        </w:rPr>
        <w:t>-</w:t>
      </w:r>
      <w:r w:rsidRPr="00F73808">
        <w:rPr>
          <w:rFonts w:ascii="Times New Roman" w:hAnsi="Times New Roman" w:cs="Times New Roman"/>
          <w:szCs w:val="20"/>
        </w:rPr>
        <w:t xml:space="preserve">wide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is harmful for non-member firms’ financial health</w:t>
      </w:r>
      <w:r w:rsidRPr="00F73808">
        <w:rPr>
          <w:rFonts w:ascii="Times New Roman" w:hAnsi="Times New Roman" w:cs="Times New Roman" w:hint="eastAsia"/>
          <w:szCs w:val="20"/>
        </w:rPr>
        <w:t xml:space="preserve">. In other words, </w:t>
      </w:r>
      <w:r w:rsidRPr="00F73808">
        <w:rPr>
          <w:rFonts w:ascii="Times New Roman" w:hAnsi="Times New Roman" w:cs="Times New Roman"/>
          <w:szCs w:val="20"/>
        </w:rPr>
        <w:t xml:space="preserve">even if member and non-member firms have exactly the same market share, </w:t>
      </w:r>
      <w:r w:rsidRPr="00F73808">
        <w:rPr>
          <w:rFonts w:ascii="Times New Roman" w:hAnsi="Times New Roman" w:cs="Times New Roman" w:hint="eastAsia"/>
          <w:szCs w:val="20"/>
        </w:rPr>
        <w:t xml:space="preserve">the existence of </w:t>
      </w:r>
      <w:r w:rsidRPr="00F73808">
        <w:rPr>
          <w:rFonts w:ascii="Times New Roman" w:hAnsi="Times New Roman" w:cs="Times New Roman"/>
          <w:szCs w:val="20"/>
        </w:rPr>
        <w:t>internal capital market</w:t>
      </w:r>
      <w:r w:rsidRPr="00F73808">
        <w:rPr>
          <w:rFonts w:ascii="Times New Roman" w:hAnsi="Times New Roman" w:cs="Times New Roman" w:hint="eastAsia"/>
          <w:szCs w:val="20"/>
        </w:rPr>
        <w:t xml:space="preserve"> in business groups can</w:t>
      </w:r>
      <w:r w:rsidRPr="00F73808">
        <w:rPr>
          <w:rFonts w:ascii="Times New Roman" w:hAnsi="Times New Roman" w:cs="Times New Roman"/>
          <w:szCs w:val="20"/>
        </w:rPr>
        <w:t xml:space="preserve"> make non-member competitors riskier through</w:t>
      </w:r>
      <w:r w:rsidRPr="00F73808">
        <w:rPr>
          <w:rFonts w:ascii="Times New Roman" w:hAnsi="Times New Roman" w:cs="Times New Roman" w:hint="eastAsia"/>
          <w:szCs w:val="20"/>
        </w:rPr>
        <w:t>,</w:t>
      </w:r>
      <w:r w:rsidRPr="00F73808">
        <w:rPr>
          <w:rFonts w:ascii="Times New Roman" w:hAnsi="Times New Roman" w:cs="Times New Roman"/>
          <w:szCs w:val="20"/>
        </w:rPr>
        <w:t xml:space="preserve"> for example</w:t>
      </w:r>
      <w:r w:rsidRPr="00F73808">
        <w:rPr>
          <w:rFonts w:ascii="Times New Roman" w:hAnsi="Times New Roman" w:cs="Times New Roman" w:hint="eastAsia"/>
          <w:szCs w:val="20"/>
        </w:rPr>
        <w:t>,</w:t>
      </w:r>
      <w:r w:rsidRPr="00F73808">
        <w:rPr>
          <w:rFonts w:ascii="Times New Roman" w:hAnsi="Times New Roman" w:cs="Times New Roman"/>
          <w:szCs w:val="20"/>
        </w:rPr>
        <w:t xml:space="preserve"> the channel proposed by </w:t>
      </w:r>
      <w:r w:rsidR="00886B05" w:rsidRPr="00F73808">
        <w:rPr>
          <w:rFonts w:ascii="Times New Roman" w:hAnsi="Times New Roman" w:cs="Times New Roman"/>
          <w:szCs w:val="20"/>
        </w:rPr>
        <w:fldChar w:fldCharType="begin"/>
      </w:r>
      <w:r w:rsidRPr="00F73808">
        <w:rPr>
          <w:rFonts w:ascii="Times New Roman" w:hAnsi="Times New Roman" w:cs="Times New Roman"/>
          <w:szCs w:val="20"/>
        </w:rPr>
        <w:instrText xml:space="preserve"> ADDIN EN.CITE &lt;EndNote&gt;&lt;Cite&gt;&lt;Author&gt;Bolton&lt;/Author&gt;&lt;Year&gt;1990&lt;/Year&gt;&lt;RecNum&gt;94&lt;/RecNum&gt;&lt;DisplayText&gt;Bolton and Scharfstein (1990)&lt;/DisplayText&gt;&lt;record&gt;&lt;rec-number&gt;94&lt;/rec-number&gt;&lt;foreign-keys&gt;&lt;key app="EN" db-id="0w9rezxppe2pzrezf0lpzvz3rp29t2ds5e5t"&gt;94&lt;/key&gt;&lt;/foreign-keys&gt;&lt;ref-type name="Journal Article"&gt;17&lt;/ref-type&gt;&lt;contributors&gt;&lt;authors&gt;&lt;author&gt;Bolton, Patrick&lt;/author&gt;&lt;author&gt;Scharfstein, David S&lt;/author&gt;&lt;/authors&gt;&lt;/contributors&gt;&lt;titles&gt;&lt;title&gt;A theory of predation based on agency problems in financial contracting&lt;/title&gt;&lt;secondary-title&gt;The American Economic Review&lt;/secondary-title&gt;&lt;/titles&gt;&lt;periodical&gt;&lt;full-title&gt;The American Economic Review&lt;/full-title&gt;&lt;/periodical&gt;&lt;pages&gt;93-106&lt;/pages&gt;&lt;dates&gt;&lt;year&gt;1990&lt;/year&gt;&lt;/dates&gt;&lt;isbn&gt;0002-8282&lt;/isbn&gt;&lt;urls&gt;&lt;/urls&gt;&lt;/record&gt;&lt;/Cite&gt;&lt;/EndNote&gt;</w:instrText>
      </w:r>
      <w:r w:rsidR="00886B05" w:rsidRPr="00F73808">
        <w:rPr>
          <w:rFonts w:ascii="Times New Roman" w:hAnsi="Times New Roman" w:cs="Times New Roman"/>
          <w:szCs w:val="20"/>
        </w:rPr>
        <w:fldChar w:fldCharType="separate"/>
      </w:r>
      <w:hyperlink w:anchor="_ENREF_9" w:tooltip="Bolton, 1990 #94" w:history="1">
        <w:r w:rsidR="00710C45" w:rsidRPr="00F73808">
          <w:rPr>
            <w:rFonts w:ascii="Times New Roman" w:hAnsi="Times New Roman" w:cs="Times New Roman"/>
            <w:szCs w:val="20"/>
          </w:rPr>
          <w:t>Bolton and Scharfstein (1990</w:t>
        </w:r>
      </w:hyperlink>
      <w:r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Finally, most of the control variables have expected signs in Table 3. For </w:t>
      </w:r>
      <w:r w:rsidRPr="00F73808">
        <w:rPr>
          <w:rFonts w:ascii="Times New Roman" w:hAnsi="Times New Roman" w:cs="Times New Roman" w:hint="eastAsia"/>
          <w:szCs w:val="20"/>
        </w:rPr>
        <w:t>instance</w:t>
      </w:r>
      <w:r w:rsidRPr="00F73808">
        <w:rPr>
          <w:rFonts w:ascii="Times New Roman" w:hAnsi="Times New Roman" w:cs="Times New Roman"/>
          <w:szCs w:val="20"/>
        </w:rPr>
        <w:t>, financial distress risk is significantly higher when size is smaller, leverage is higher, and profitability and R&amp;D intensity are lower. The coefficients of HHI, the proxy for general competition intensity in the industry, are insignificant in all regressions but with expected signs</w:t>
      </w:r>
      <w:r w:rsidRPr="00F73808">
        <w:rPr>
          <w:rFonts w:ascii="Times New Roman" w:hAnsi="Times New Roman" w:cs="Times New Roman" w:hint="eastAsia"/>
          <w:szCs w:val="20"/>
        </w:rPr>
        <w:t>:</w:t>
      </w:r>
      <w:r w:rsidR="007852F2">
        <w:rPr>
          <w:rFonts w:ascii="Times New Roman" w:hAnsi="Times New Roman" w:cs="Times New Roman"/>
          <w:szCs w:val="20"/>
        </w:rPr>
        <w:t xml:space="preserve"> </w:t>
      </w:r>
      <w:r w:rsidRPr="00F73808">
        <w:rPr>
          <w:rFonts w:ascii="Times New Roman" w:hAnsi="Times New Roman" w:cs="Times New Roman"/>
          <w:szCs w:val="20"/>
        </w:rPr>
        <w:t>the high</w:t>
      </w:r>
      <w:r w:rsidR="007852F2">
        <w:rPr>
          <w:rFonts w:ascii="Times New Roman" w:hAnsi="Times New Roman" w:cs="Times New Roman"/>
          <w:szCs w:val="20"/>
        </w:rPr>
        <w:t>er</w:t>
      </w:r>
      <w:r w:rsidRPr="00F73808">
        <w:rPr>
          <w:rFonts w:ascii="Times New Roman" w:hAnsi="Times New Roman" w:cs="Times New Roman"/>
          <w:szCs w:val="20"/>
        </w:rPr>
        <w:t xml:space="preserve"> the industry concentration (higher HHI), the lower the financial distress risk. </w:t>
      </w:r>
    </w:p>
    <w:p w:rsid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4 about here]</w:t>
      </w:r>
    </w:p>
    <w:p w:rsidR="00BD72E1" w:rsidRPr="00F73808" w:rsidRDefault="00BD72E1" w:rsidP="0030091E">
      <w:pPr>
        <w:spacing w:line="480" w:lineRule="auto"/>
        <w:contextualSpacing/>
        <w:jc w:val="center"/>
        <w:rPr>
          <w:rFonts w:ascii="Times New Roman" w:hAnsi="Times New Roman" w:cs="Times New Roman"/>
          <w:szCs w:val="20"/>
        </w:rPr>
      </w:pPr>
    </w:p>
    <w:p w:rsidR="00F73808" w:rsidRPr="0030091E" w:rsidRDefault="0030091E"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2)</w:t>
      </w:r>
      <w:r w:rsidR="00F73808" w:rsidRPr="0030091E">
        <w:rPr>
          <w:rFonts w:ascii="Times New Roman" w:hAnsi="Times New Roman" w:cs="Times New Roman"/>
          <w:sz w:val="24"/>
          <w:szCs w:val="24"/>
        </w:rPr>
        <w:t xml:space="preserve"> </w:t>
      </w:r>
      <w:r w:rsidR="00F73808" w:rsidRPr="0030091E">
        <w:rPr>
          <w:rFonts w:ascii="Times New Roman" w:hAnsi="Times New Roman" w:cs="Times New Roman" w:hint="eastAsia"/>
          <w:sz w:val="24"/>
          <w:szCs w:val="24"/>
        </w:rPr>
        <w:t>B</w:t>
      </w:r>
      <w:r w:rsidR="00F73808" w:rsidRPr="0030091E">
        <w:rPr>
          <w:rFonts w:ascii="Times New Roman" w:hAnsi="Times New Roman" w:cs="Times New Roman"/>
          <w:sz w:val="24"/>
          <w:szCs w:val="24"/>
        </w:rPr>
        <w:t>usiness group’</w:t>
      </w:r>
      <w:r w:rsidR="00F73808" w:rsidRPr="0030091E">
        <w:rPr>
          <w:rFonts w:ascii="Times New Roman" w:hAnsi="Times New Roman" w:cs="Times New Roman" w:hint="eastAsia"/>
          <w:sz w:val="24"/>
          <w:szCs w:val="24"/>
        </w:rPr>
        <w:t>s</w:t>
      </w:r>
      <w:r w:rsidR="00F73808" w:rsidRPr="0030091E">
        <w:rPr>
          <w:rFonts w:ascii="Times New Roman" w:hAnsi="Times New Roman" w:cs="Times New Roman"/>
          <w:sz w:val="24"/>
          <w:szCs w:val="24"/>
        </w:rPr>
        <w:t xml:space="preserve"> </w:t>
      </w:r>
      <w:r w:rsidR="00F73808" w:rsidRPr="0030091E">
        <w:rPr>
          <w:rFonts w:ascii="Times New Roman" w:hAnsi="Times New Roman" w:cs="Times New Roman" w:hint="eastAsia"/>
          <w:sz w:val="24"/>
          <w:szCs w:val="24"/>
        </w:rPr>
        <w:t>influence</w:t>
      </w:r>
      <w:r w:rsidR="00F73808" w:rsidRPr="0030091E">
        <w:rPr>
          <w:rFonts w:ascii="Times New Roman" w:hAnsi="Times New Roman" w:cs="Times New Roman"/>
          <w:sz w:val="24"/>
          <w:szCs w:val="24"/>
        </w:rPr>
        <w:t xml:space="preserve"> on financial distress risk: </w:t>
      </w:r>
      <w:r w:rsidR="00F73808" w:rsidRPr="0030091E">
        <w:rPr>
          <w:rFonts w:ascii="Times New Roman" w:hAnsi="Times New Roman" w:cs="Times New Roman" w:hint="eastAsia"/>
          <w:sz w:val="24"/>
          <w:szCs w:val="24"/>
        </w:rPr>
        <w:t>Industry level analysis</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 xml:space="preserve">In the previous </w:t>
      </w:r>
      <w:r w:rsidR="007852F2">
        <w:rPr>
          <w:rFonts w:ascii="Times New Roman" w:hAnsi="Times New Roman" w:cs="Times New Roman"/>
          <w:szCs w:val="20"/>
        </w:rPr>
        <w:t>sub</w:t>
      </w:r>
      <w:r w:rsidR="007852F2">
        <w:rPr>
          <w:rFonts w:ascii="Times New Roman" w:hAnsi="Times New Roman" w:cs="Times New Roman" w:hint="eastAsia"/>
          <w:szCs w:val="20"/>
        </w:rPr>
        <w:t>section</w:t>
      </w:r>
      <w:r w:rsidRPr="00F73808">
        <w:rPr>
          <w:rFonts w:ascii="Times New Roman" w:hAnsi="Times New Roman" w:cs="Times New Roman" w:hint="eastAsia"/>
          <w:szCs w:val="20"/>
        </w:rPr>
        <w:t xml:space="preserve">, the results confirm that when there exists a strong (in terms of market share and/or financial </w:t>
      </w:r>
      <w:r w:rsidRPr="00F73808">
        <w:rPr>
          <w:rFonts w:ascii="Times New Roman" w:hAnsi="Times New Roman" w:cs="Times New Roman"/>
          <w:szCs w:val="20"/>
        </w:rPr>
        <w:t>strength</w:t>
      </w:r>
      <w:r w:rsidRPr="00F73808">
        <w:rPr>
          <w:rFonts w:ascii="Times New Roman" w:hAnsi="Times New Roman" w:cs="Times New Roman" w:hint="eastAsia"/>
          <w:szCs w:val="20"/>
        </w:rPr>
        <w:t xml:space="preserve">) </w:t>
      </w:r>
      <w:r w:rsidRPr="00F73808">
        <w:rPr>
          <w:rFonts w:ascii="Times New Roman" w:hAnsi="Times New Roman" w:cs="Times New Roman"/>
          <w:szCs w:val="20"/>
        </w:rPr>
        <w:t>business group</w:t>
      </w:r>
      <w:r w:rsidRPr="00F73808">
        <w:rPr>
          <w:rFonts w:ascii="Times New Roman" w:hAnsi="Times New Roman" w:cs="Times New Roman" w:hint="eastAsia"/>
          <w:szCs w:val="20"/>
        </w:rPr>
        <w:t xml:space="preserve"> in an industry, it could be detrimental to financial health (measured by financial distress risk) of non-mem</w:t>
      </w:r>
      <w:r w:rsidR="00BD72E1">
        <w:rPr>
          <w:rFonts w:ascii="Times New Roman" w:hAnsi="Times New Roman" w:cs="Times New Roman" w:hint="eastAsia"/>
          <w:szCs w:val="20"/>
        </w:rPr>
        <w:t>ber firms in the same industry.</w:t>
      </w:r>
      <w:r w:rsidRPr="00F73808">
        <w:rPr>
          <w:rFonts w:ascii="Times New Roman" w:hAnsi="Times New Roman" w:cs="Times New Roman" w:hint="eastAsia"/>
          <w:szCs w:val="20"/>
        </w:rPr>
        <w:t xml:space="preserve"> In this section, we examine the issue at </w:t>
      </w:r>
      <w:r w:rsidRPr="00F73808">
        <w:rPr>
          <w:rFonts w:ascii="Times New Roman" w:hAnsi="Times New Roman" w:cs="Times New Roman" w:hint="eastAsia"/>
          <w:szCs w:val="20"/>
        </w:rPr>
        <w:lastRenderedPageBreak/>
        <w:t xml:space="preserve">industry level. That is, we investigate </w:t>
      </w:r>
      <w:r w:rsidRPr="00F73808">
        <w:rPr>
          <w:rFonts w:ascii="Times New Roman" w:hAnsi="Times New Roman" w:cs="Times New Roman"/>
          <w:szCs w:val="20"/>
        </w:rPr>
        <w:t xml:space="preserve">what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on the financial distress r</w:t>
      </w:r>
      <w:r w:rsidR="007852F2">
        <w:rPr>
          <w:rFonts w:ascii="Times New Roman" w:hAnsi="Times New Roman" w:cs="Times New Roman"/>
          <w:szCs w:val="20"/>
        </w:rPr>
        <w:t xml:space="preserve">isk of the entire industry is. </w:t>
      </w:r>
      <w:r w:rsidRPr="00F73808">
        <w:rPr>
          <w:rFonts w:ascii="Times New Roman" w:hAnsi="Times New Roman" w:cs="Times New Roman" w:hint="eastAsia"/>
          <w:szCs w:val="20"/>
        </w:rPr>
        <w:t>Although the existence of business group</w:t>
      </w:r>
      <w:r w:rsidRPr="00F73808">
        <w:rPr>
          <w:rFonts w:ascii="Times New Roman" w:hAnsi="Times New Roman" w:cs="Times New Roman"/>
          <w:szCs w:val="20"/>
        </w:rPr>
        <w:t xml:space="preserve"> increase</w:t>
      </w:r>
      <w:r w:rsidRPr="00F73808">
        <w:rPr>
          <w:rFonts w:ascii="Times New Roman" w:hAnsi="Times New Roman" w:cs="Times New Roman" w:hint="eastAsia"/>
          <w:szCs w:val="20"/>
        </w:rPr>
        <w:t>s</w:t>
      </w:r>
      <w:r w:rsidRPr="00F73808">
        <w:rPr>
          <w:rFonts w:ascii="Times New Roman" w:hAnsi="Times New Roman" w:cs="Times New Roman"/>
          <w:szCs w:val="20"/>
        </w:rPr>
        <w:t xml:space="preserve"> the financial distress risk of non-member firms</w:t>
      </w:r>
      <w:r w:rsidRPr="00F73808">
        <w:rPr>
          <w:rFonts w:ascii="Times New Roman" w:hAnsi="Times New Roman" w:cs="Times New Roman" w:hint="eastAsia"/>
          <w:szCs w:val="20"/>
        </w:rPr>
        <w:t xml:space="preserve"> in the same industry</w:t>
      </w:r>
      <w:r w:rsidRPr="00F73808">
        <w:rPr>
          <w:rFonts w:ascii="Times New Roman" w:hAnsi="Times New Roman" w:cs="Times New Roman"/>
          <w:szCs w:val="20"/>
        </w:rPr>
        <w:t xml:space="preserve">, </w:t>
      </w:r>
      <w:r w:rsidRPr="00F73808">
        <w:rPr>
          <w:rFonts w:ascii="Times New Roman" w:hAnsi="Times New Roman" w:cs="Times New Roman" w:hint="eastAsia"/>
          <w:szCs w:val="20"/>
        </w:rPr>
        <w:t>if</w:t>
      </w:r>
      <w:r w:rsidRPr="00F73808">
        <w:rPr>
          <w:rFonts w:ascii="Times New Roman" w:hAnsi="Times New Roman" w:cs="Times New Roman"/>
          <w:szCs w:val="20"/>
        </w:rPr>
        <w:t xml:space="preserve"> it has no impact on the financial distress risk of the entire industry, </w:t>
      </w:r>
      <w:r w:rsidRPr="00F73808">
        <w:rPr>
          <w:rFonts w:ascii="Times New Roman" w:hAnsi="Times New Roman" w:cs="Times New Roman" w:hint="eastAsia"/>
          <w:szCs w:val="20"/>
        </w:rPr>
        <w:t xml:space="preserve">then the existence of business group may not be necessarily detrimental to </w:t>
      </w:r>
      <w:r w:rsidRPr="00F73808">
        <w:rPr>
          <w:rFonts w:ascii="Times New Roman" w:hAnsi="Times New Roman" w:cs="Times New Roman"/>
          <w:szCs w:val="20"/>
        </w:rPr>
        <w:t>the overall industry wide welfare.</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Table 4 presents the</w:t>
      </w:r>
      <w:r w:rsidRPr="00F73808">
        <w:rPr>
          <w:rFonts w:ascii="Times New Roman" w:hAnsi="Times New Roman" w:cs="Times New Roman"/>
          <w:szCs w:val="20"/>
        </w:rPr>
        <w:t xml:space="preserve"> results on industry</w:t>
      </w:r>
      <w:r w:rsidRPr="00F73808">
        <w:rPr>
          <w:rFonts w:ascii="Times New Roman" w:hAnsi="Times New Roman" w:cs="Times New Roman" w:hint="eastAsia"/>
          <w:szCs w:val="20"/>
        </w:rPr>
        <w:t>-</w:t>
      </w:r>
      <w:r w:rsidRPr="00F73808">
        <w:rPr>
          <w:rFonts w:ascii="Times New Roman" w:hAnsi="Times New Roman" w:cs="Times New Roman"/>
          <w:szCs w:val="20"/>
        </w:rPr>
        <w:t>wide equilibrium effect of business group.</w:t>
      </w:r>
      <w:r w:rsidRPr="00F73808">
        <w:rPr>
          <w:rFonts w:ascii="Times New Roman" w:hAnsi="Times New Roman" w:cs="Times New Roman" w:hint="eastAsia"/>
          <w:szCs w:val="20"/>
        </w:rPr>
        <w:t xml:space="preserve"> As shown in Table 4, we find that </w:t>
      </w:r>
      <w:r w:rsidRPr="00F73808">
        <w:rPr>
          <w:rFonts w:ascii="Times New Roman" w:hAnsi="Times New Roman" w:cs="Times New Roman"/>
          <w:szCs w:val="20"/>
        </w:rPr>
        <w:t xml:space="preserve">BSDI </w:t>
      </w:r>
      <w:r w:rsidRPr="00F73808">
        <w:rPr>
          <w:rFonts w:ascii="Times New Roman" w:hAnsi="Times New Roman" w:cs="Times New Roman" w:hint="eastAsia"/>
          <w:szCs w:val="20"/>
        </w:rPr>
        <w:t>and its two components (</w:t>
      </w:r>
      <w:r w:rsidRPr="00F73808">
        <w:rPr>
          <w:rFonts w:ascii="Times New Roman" w:hAnsi="Times New Roman" w:cs="Times New Roman"/>
          <w:szCs w:val="20"/>
        </w:rPr>
        <w:t>BG MKT Share and ICM Size</w:t>
      </w:r>
      <w:r w:rsidRPr="00F73808">
        <w:rPr>
          <w:rFonts w:ascii="Times New Roman" w:hAnsi="Times New Roman" w:cs="Times New Roman" w:hint="eastAsia"/>
          <w:szCs w:val="20"/>
        </w:rPr>
        <w:t>)</w:t>
      </w:r>
      <w:r w:rsidRPr="00F73808">
        <w:rPr>
          <w:rFonts w:ascii="Times New Roman" w:hAnsi="Times New Roman" w:cs="Times New Roman"/>
          <w:szCs w:val="20"/>
        </w:rPr>
        <w:t xml:space="preserve"> are significantly positiv</w:t>
      </w:r>
      <w:r w:rsidRPr="00F73808">
        <w:rPr>
          <w:rFonts w:ascii="Times New Roman" w:hAnsi="Times New Roman" w:cs="Times New Roman" w:hint="eastAsia"/>
          <w:szCs w:val="20"/>
        </w:rPr>
        <w:t>ely associated with</w:t>
      </w:r>
      <w:r w:rsidRPr="00F73808">
        <w:rPr>
          <w:rFonts w:ascii="Times New Roman" w:hAnsi="Times New Roman" w:cs="Times New Roman"/>
          <w:szCs w:val="20"/>
        </w:rPr>
        <w:t xml:space="preserve"> </w:t>
      </w:r>
      <w:r w:rsidRPr="00F73808">
        <w:rPr>
          <w:rFonts w:ascii="Times New Roman" w:hAnsi="Times New Roman" w:cs="Times New Roman" w:hint="eastAsia"/>
          <w:szCs w:val="20"/>
        </w:rPr>
        <w:t xml:space="preserve">industry-wide </w:t>
      </w:r>
      <w:r w:rsidRPr="00F73808">
        <w:rPr>
          <w:rFonts w:ascii="Times New Roman" w:hAnsi="Times New Roman" w:cs="Times New Roman"/>
          <w:szCs w:val="20"/>
        </w:rPr>
        <w:t xml:space="preserve">financial distress risk measured by KL-score </w:t>
      </w:r>
      <w:r w:rsidRPr="00F73808">
        <w:rPr>
          <w:rFonts w:ascii="Times New Roman" w:hAnsi="Times New Roman" w:cs="Times New Roman" w:hint="eastAsia"/>
          <w:szCs w:val="20"/>
        </w:rPr>
        <w:t xml:space="preserve">and </w:t>
      </w:r>
      <w:r w:rsidRPr="00F73808">
        <w:rPr>
          <w:rFonts w:ascii="Times New Roman" w:hAnsi="Times New Roman" w:cs="Times New Roman"/>
          <w:szCs w:val="20"/>
        </w:rPr>
        <w:t>KM-score</w:t>
      </w:r>
      <w:r w:rsidRPr="00F73808">
        <w:rPr>
          <w:rFonts w:ascii="Times New Roman" w:hAnsi="Times New Roman" w:cs="Times New Roman" w:hint="eastAsia"/>
          <w:szCs w:val="20"/>
        </w:rPr>
        <w:t>. T</w:t>
      </w:r>
      <w:r w:rsidRPr="00F73808">
        <w:rPr>
          <w:rFonts w:ascii="Times New Roman" w:hAnsi="Times New Roman" w:cs="Times New Roman"/>
          <w:szCs w:val="20"/>
        </w:rPr>
        <w:t>h</w:t>
      </w:r>
      <w:r w:rsidRPr="00F73808">
        <w:rPr>
          <w:rFonts w:ascii="Times New Roman" w:hAnsi="Times New Roman" w:cs="Times New Roman" w:hint="eastAsia"/>
          <w:szCs w:val="20"/>
        </w:rPr>
        <w:t>is result supports Hypothesis 2 and suggests that</w:t>
      </w:r>
      <w:r w:rsidRPr="00F73808">
        <w:rPr>
          <w:rFonts w:ascii="Times New Roman" w:hAnsi="Times New Roman" w:cs="Times New Roman"/>
          <w:szCs w:val="20"/>
        </w:rPr>
        <w:t xml:space="preserve"> high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increase the default intensity of the entire industry.</w:t>
      </w:r>
    </w:p>
    <w:p w:rsid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5 about here]</w:t>
      </w:r>
    </w:p>
    <w:p w:rsidR="00BD72E1" w:rsidRPr="00F73808" w:rsidRDefault="00BD72E1" w:rsidP="0030091E">
      <w:pPr>
        <w:spacing w:line="480" w:lineRule="auto"/>
        <w:contextualSpacing/>
        <w:jc w:val="center"/>
        <w:rPr>
          <w:rFonts w:ascii="Times New Roman" w:hAnsi="Times New Roman" w:cs="Times New Roman"/>
          <w:szCs w:val="20"/>
        </w:rPr>
      </w:pP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3</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w:t>
      </w:r>
      <w:r w:rsidRPr="0030091E">
        <w:rPr>
          <w:rFonts w:ascii="Times New Roman" w:hAnsi="Times New Roman" w:cs="Times New Roman" w:hint="eastAsia"/>
          <w:sz w:val="24"/>
          <w:szCs w:val="24"/>
        </w:rPr>
        <w:t>Financial constraint</w:t>
      </w:r>
      <w:r w:rsidRPr="0030091E">
        <w:rPr>
          <w:rFonts w:ascii="Times New Roman" w:hAnsi="Times New Roman" w:cs="Times New Roman"/>
          <w:sz w:val="24"/>
          <w:szCs w:val="24"/>
        </w:rPr>
        <w:t xml:space="preserve"> and business group’</w:t>
      </w:r>
      <w:r w:rsidRPr="0030091E">
        <w:rPr>
          <w:rFonts w:ascii="Times New Roman" w:hAnsi="Times New Roman" w:cs="Times New Roman" w:hint="eastAsia"/>
          <w:sz w:val="24"/>
          <w:szCs w:val="24"/>
        </w:rPr>
        <w:t>s</w:t>
      </w:r>
      <w:r w:rsidRPr="0030091E">
        <w:rPr>
          <w:rFonts w:ascii="Times New Roman" w:hAnsi="Times New Roman" w:cs="Times New Roman"/>
          <w:sz w:val="24"/>
          <w:szCs w:val="24"/>
        </w:rPr>
        <w:t xml:space="preserve"> </w:t>
      </w:r>
      <w:r w:rsidRPr="0030091E">
        <w:rPr>
          <w:rFonts w:ascii="Times New Roman" w:hAnsi="Times New Roman" w:cs="Times New Roman" w:hint="eastAsia"/>
          <w:sz w:val="24"/>
          <w:szCs w:val="24"/>
        </w:rPr>
        <w:t>influence</w:t>
      </w:r>
    </w:p>
    <w:p w:rsidR="00F73808" w:rsidRPr="00F73808" w:rsidRDefault="007852F2" w:rsidP="0030091E">
      <w:pPr>
        <w:spacing w:line="480" w:lineRule="auto"/>
        <w:ind w:firstLineChars="100" w:firstLine="200"/>
        <w:contextualSpacing/>
        <w:rPr>
          <w:rFonts w:ascii="Times New Roman" w:hAnsi="Times New Roman" w:cs="Times New Roman"/>
          <w:szCs w:val="20"/>
        </w:rPr>
      </w:pPr>
      <w:r>
        <w:rPr>
          <w:rFonts w:ascii="Times New Roman" w:hAnsi="Times New Roman" w:cs="Times New Roman"/>
          <w:szCs w:val="20"/>
        </w:rPr>
        <w:t xml:space="preserve">In this section, we examine </w:t>
      </w:r>
      <w:r w:rsidR="00F73808" w:rsidRPr="00F73808">
        <w:rPr>
          <w:rFonts w:ascii="Times New Roman" w:hAnsi="Times New Roman" w:cs="Times New Roman"/>
          <w:szCs w:val="20"/>
        </w:rPr>
        <w:t xml:space="preserve">whether the negative </w:t>
      </w:r>
      <w:r w:rsidR="00F73808" w:rsidRPr="00F73808">
        <w:rPr>
          <w:rFonts w:ascii="Times New Roman" w:hAnsi="Times New Roman" w:cs="Times New Roman" w:hint="eastAsia"/>
          <w:szCs w:val="20"/>
        </w:rPr>
        <w:t>external effect</w:t>
      </w:r>
      <w:r w:rsidR="00F73808" w:rsidRPr="00F73808">
        <w:rPr>
          <w:rFonts w:ascii="Times New Roman" w:hAnsi="Times New Roman" w:cs="Times New Roman"/>
          <w:szCs w:val="20"/>
        </w:rPr>
        <w:t xml:space="preserve"> of industry</w:t>
      </w:r>
      <w:r w:rsidR="00F73808" w:rsidRPr="00F73808">
        <w:rPr>
          <w:rFonts w:ascii="Times New Roman" w:hAnsi="Times New Roman" w:cs="Times New Roman" w:hint="eastAsia"/>
          <w:szCs w:val="20"/>
        </w:rPr>
        <w:t>-</w:t>
      </w:r>
      <w:r w:rsidR="00F73808" w:rsidRPr="00F73808">
        <w:rPr>
          <w:rFonts w:ascii="Times New Roman" w:hAnsi="Times New Roman" w:cs="Times New Roman"/>
          <w:szCs w:val="20"/>
        </w:rPr>
        <w:t xml:space="preserve">wide business group </w:t>
      </w:r>
      <w:proofErr w:type="gramStart"/>
      <w:r w:rsidR="00F73808" w:rsidRPr="00F73808">
        <w:rPr>
          <w:rFonts w:ascii="Times New Roman" w:hAnsi="Times New Roman" w:cs="Times New Roman"/>
          <w:szCs w:val="20"/>
        </w:rPr>
        <w:t>is</w:t>
      </w:r>
      <w:r w:rsidR="00F73808" w:rsidRPr="00F73808">
        <w:rPr>
          <w:rFonts w:ascii="Times New Roman" w:hAnsi="Times New Roman" w:cs="Times New Roman" w:hint="eastAsia"/>
          <w:szCs w:val="20"/>
        </w:rPr>
        <w:t xml:space="preserve"> </w:t>
      </w:r>
      <w:r w:rsidR="00F73808" w:rsidRPr="00F73808">
        <w:rPr>
          <w:rFonts w:ascii="Times New Roman" w:hAnsi="Times New Roman" w:cs="Times New Roman"/>
          <w:szCs w:val="20"/>
        </w:rPr>
        <w:t xml:space="preserve"> severe</w:t>
      </w:r>
      <w:r w:rsidR="00F73808" w:rsidRPr="00F73808">
        <w:rPr>
          <w:rFonts w:ascii="Times New Roman" w:hAnsi="Times New Roman" w:cs="Times New Roman" w:hint="eastAsia"/>
          <w:szCs w:val="20"/>
        </w:rPr>
        <w:t>r</w:t>
      </w:r>
      <w:proofErr w:type="gramEnd"/>
      <w:r w:rsidR="00F73808" w:rsidRPr="00F73808">
        <w:rPr>
          <w:rFonts w:ascii="Times New Roman" w:hAnsi="Times New Roman" w:cs="Times New Roman"/>
          <w:szCs w:val="20"/>
        </w:rPr>
        <w:t xml:space="preserve"> for non-member firms with higher financial constraint</w:t>
      </w:r>
      <w:r w:rsidR="00F73808" w:rsidRPr="00F73808">
        <w:rPr>
          <w:rFonts w:ascii="Times New Roman" w:hAnsi="Times New Roman" w:cs="Times New Roman" w:hint="eastAsia"/>
          <w:szCs w:val="20"/>
        </w:rPr>
        <w:t>: Hypothesis 3</w:t>
      </w:r>
      <w:r w:rsidR="00F73808" w:rsidRPr="00F73808">
        <w:rPr>
          <w:rFonts w:ascii="Times New Roman" w:hAnsi="Times New Roman" w:cs="Times New Roman"/>
          <w:szCs w:val="20"/>
        </w:rPr>
        <w:t xml:space="preserve">. </w:t>
      </w:r>
      <w:r w:rsidR="00F73808" w:rsidRPr="00F73808">
        <w:rPr>
          <w:rFonts w:ascii="Times New Roman" w:hAnsi="Times New Roman" w:cs="Times New Roman" w:hint="eastAsia"/>
          <w:szCs w:val="20"/>
        </w:rPr>
        <w:t>To measure</w:t>
      </w:r>
      <w:r w:rsidR="00F73808" w:rsidRPr="00F73808">
        <w:rPr>
          <w:rFonts w:ascii="Times New Roman" w:hAnsi="Times New Roman" w:cs="Times New Roman"/>
          <w:szCs w:val="20"/>
        </w:rPr>
        <w:t xml:space="preserve"> financial constraint, we use</w:t>
      </w:r>
      <w:r w:rsidR="00F73808" w:rsidRPr="00F73808">
        <w:rPr>
          <w:rFonts w:ascii="Times New Roman" w:hAnsi="Times New Roman" w:cs="Times New Roman" w:hint="eastAsia"/>
          <w:szCs w:val="20"/>
        </w:rPr>
        <w:t xml:space="preserve"> </w:t>
      </w:r>
      <w:r w:rsidR="00F73808" w:rsidRPr="00F73808">
        <w:rPr>
          <w:rFonts w:ascii="Times New Roman" w:hAnsi="Times New Roman" w:cs="Times New Roman"/>
          <w:szCs w:val="20"/>
        </w:rPr>
        <w:t xml:space="preserve">tangibility ratio </w:t>
      </w:r>
      <w:r w:rsidR="00F73808" w:rsidRPr="00F73808">
        <w:rPr>
          <w:rFonts w:ascii="Times New Roman" w:hAnsi="Times New Roman" w:cs="Times New Roman" w:hint="eastAsia"/>
          <w:szCs w:val="20"/>
        </w:rPr>
        <w:t xml:space="preserve">of a firm </w:t>
      </w:r>
      <w:r w:rsidR="00F73808" w:rsidRPr="00F73808">
        <w:rPr>
          <w:rFonts w:ascii="Times New Roman" w:hAnsi="Times New Roman" w:cs="Times New Roman"/>
          <w:szCs w:val="20"/>
        </w:rPr>
        <w:t xml:space="preserve">following existing literature (see for example, </w:t>
      </w:r>
      <w:r w:rsidR="00886B05" w:rsidRPr="00F73808">
        <w:rPr>
          <w:rFonts w:ascii="Times New Roman" w:hAnsi="Times New Roman" w:cs="Times New Roman"/>
          <w:szCs w:val="20"/>
        </w:rPr>
        <w:fldChar w:fldCharType="begin"/>
      </w:r>
      <w:r w:rsidR="00F73808" w:rsidRPr="00F73808">
        <w:rPr>
          <w:rFonts w:ascii="Times New Roman" w:hAnsi="Times New Roman" w:cs="Times New Roman"/>
          <w:szCs w:val="20"/>
        </w:rPr>
        <w:instrText xml:space="preserve"> ADDIN EN.CITE &lt;EndNote&gt;&lt;Cite&gt;&lt;Author&gt;Braun&lt;/Author&gt;&lt;Year&gt;2005&lt;/Year&gt;&lt;RecNum&gt;124&lt;/RecNum&gt;&lt;DisplayText&gt;Braun and Larrain (2005)&lt;/DisplayText&gt;&lt;record&gt;&lt;rec-number&gt;124&lt;/rec-number&gt;&lt;foreign-keys&gt;&lt;key app="EN" db-id="0w9rezxppe2pzrezf0lpzvz3rp29t2ds5e5t"&gt;124&lt;/key&gt;&lt;/foreign-keys&gt;&lt;ref-type name="Journal Article"&gt;17&lt;/ref-type&gt;&lt;contributors&gt;&lt;authors&gt;&lt;author&gt;Braun, Matias&lt;/author&gt;&lt;author&gt;Larrain, Borja&lt;/author&gt;&lt;/authors&gt;&lt;/contributors&gt;&lt;titles&gt;&lt;title&gt;Finance and the business cycle: international, inter‐industry evidence&lt;/title&gt;&lt;secondary-title&gt;The Journal of Finance&lt;/secondary-title&gt;&lt;/titles&gt;&lt;periodical&gt;&lt;full-title&gt;The Journal of Finance&lt;/full-title&gt;&lt;/periodical&gt;&lt;pages&gt;1097-1128&lt;/pages&gt;&lt;volume&gt;60&lt;/volume&gt;&lt;number&gt;3&lt;/number&gt;&lt;dates&gt;&lt;year&gt;2005&lt;/year&gt;&lt;/dates&gt;&lt;isbn&gt;1540-6261&lt;/isbn&gt;&lt;urls&gt;&lt;/urls&gt;&lt;/record&gt;&lt;/Cite&gt;&lt;/EndNote&gt;</w:instrText>
      </w:r>
      <w:r w:rsidR="00886B05" w:rsidRPr="00F73808">
        <w:rPr>
          <w:rFonts w:ascii="Times New Roman" w:hAnsi="Times New Roman" w:cs="Times New Roman"/>
          <w:szCs w:val="20"/>
        </w:rPr>
        <w:fldChar w:fldCharType="separate"/>
      </w:r>
      <w:hyperlink w:anchor="_ENREF_11" w:tooltip="Braun, 2005 #124" w:history="1">
        <w:r w:rsidR="00710C45" w:rsidRPr="00F73808">
          <w:rPr>
            <w:rFonts w:ascii="Times New Roman" w:hAnsi="Times New Roman" w:cs="Times New Roman"/>
            <w:szCs w:val="20"/>
          </w:rPr>
          <w:t>Braun and Larrain (2005</w:t>
        </w:r>
      </w:hyperlink>
      <w:r w:rsidR="00F73808"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00F73808"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00F73808" w:rsidRPr="00F73808">
        <w:rPr>
          <w:rFonts w:ascii="Times New Roman" w:hAnsi="Times New Roman" w:cs="Times New Roman"/>
          <w:szCs w:val="20"/>
        </w:rPr>
        <w:instrText xml:space="preserve"> ADDIN EN.CITE &lt;EndNote&gt;&lt;Cite&gt;&lt;Author&gt;Almeida&lt;/Author&gt;&lt;Year&gt;2007&lt;/Year&gt;&lt;RecNum&gt;125&lt;/RecNum&gt;&lt;DisplayText&gt;Almeida and Campello (2007)&lt;/DisplayText&gt;&lt;record&gt;&lt;rec-number&gt;125&lt;/rec-number&gt;&lt;foreign-keys&gt;&lt;key app="EN" db-id="0w9rezxppe2pzrezf0lpzvz3rp29t2ds5e5t"&gt;125&lt;/key&gt;&lt;/foreign-keys&gt;&lt;ref-type name="Journal Article"&gt;17&lt;/ref-type&gt;&lt;contributors&gt;&lt;authors&gt;&lt;author&gt;Almeida, Heitor&lt;/author&gt;&lt;author&gt;Campello, Murillo&lt;/author&gt;&lt;/authors&gt;&lt;/contributors&gt;&lt;titles&gt;&lt;title&gt;Financial constraints, asset tangibility, and corporate investment&lt;/title&gt;&lt;secondary-title&gt;Review of Financial Studies&lt;/secondary-title&gt;&lt;/titles&gt;&lt;periodical&gt;&lt;full-title&gt;Review of Financial studies&lt;/full-title&gt;&lt;/periodical&gt;&lt;pages&gt;1429-1460&lt;/pages&gt;&lt;volume&gt;20&lt;/volume&gt;&lt;number&gt;5&lt;/number&gt;&lt;dates&gt;&lt;year&gt;2007&lt;/year&gt;&lt;/dates&gt;&lt;isbn&gt;0893-9454&lt;/isbn&gt;&lt;urls&gt;&lt;/urls&gt;&lt;/record&gt;&lt;/Cite&gt;&lt;/EndNote&gt;</w:instrText>
      </w:r>
      <w:r w:rsidR="00886B05" w:rsidRPr="00F73808">
        <w:rPr>
          <w:rFonts w:ascii="Times New Roman" w:hAnsi="Times New Roman" w:cs="Times New Roman"/>
          <w:szCs w:val="20"/>
        </w:rPr>
        <w:fldChar w:fldCharType="separate"/>
      </w:r>
      <w:hyperlink w:anchor="_ENREF_1" w:tooltip="Almeida, 2007 #125" w:history="1">
        <w:r w:rsidR="00710C45" w:rsidRPr="00F73808">
          <w:rPr>
            <w:rFonts w:ascii="Times New Roman" w:hAnsi="Times New Roman" w:cs="Times New Roman"/>
            <w:szCs w:val="20"/>
          </w:rPr>
          <w:t>Almeida and Campello (2007</w:t>
        </w:r>
      </w:hyperlink>
      <w:r w:rsidR="00F73808" w:rsidRPr="00F73808">
        <w:rPr>
          <w:rFonts w:ascii="Times New Roman" w:hAnsi="Times New Roman" w:cs="Times New Roman"/>
          <w:szCs w:val="20"/>
        </w:rPr>
        <w:t>)</w:t>
      </w:r>
      <w:r w:rsidR="00886B05" w:rsidRPr="00F73808">
        <w:rPr>
          <w:rFonts w:ascii="Times New Roman" w:hAnsi="Times New Roman" w:cs="Times New Roman"/>
          <w:szCs w:val="20"/>
        </w:rPr>
        <w:fldChar w:fldCharType="end"/>
      </w:r>
      <w:r w:rsidR="00F73808" w:rsidRPr="00F73808">
        <w:rPr>
          <w:rFonts w:ascii="Times New Roman" w:hAnsi="Times New Roman" w:cs="Times New Roman"/>
          <w:szCs w:val="20"/>
        </w:rPr>
        <w:t xml:space="preserve"> and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&lt;EndNote&gt;&lt;Cite&gt;&lt;Author&gt;Boutin&lt;/Author&gt;&lt;Year&gt;2013&lt;/Year&gt;&lt;RecNum&gt;129&lt;/RecNum&gt;&lt;DisplayText&gt;Boutin, Cestone, Fumagalli, Pica and Serrano-Velarde (2013)&lt;/DisplayText&gt;&lt;record&gt;&lt;rec-number&gt;129&lt;/rec-number&gt;&lt;foreign-keys&gt;&lt;key app="EN" db-id="0w9rezxppe2pzrezf0lpzvz3rp29t2ds5e5t"&gt;129&lt;/key&gt;&lt;/foreign-keys&gt;&lt;ref-type name="Journal Article"&gt;17&lt;/ref-type&gt;&lt;contributors&gt;&lt;authors&gt;&lt;author&gt;Boutin, Xavier&lt;/author&gt;&lt;author&gt;Cestone, Giacinta&lt;/author&gt;&lt;author&gt;Fumagalli, Chiara&lt;/author&gt;&lt;author&gt;Pica, Giovanni&lt;/author&gt;&lt;author&gt;Serrano-Velarde, Nicolas&lt;/author&gt;&lt;/authors&gt;&lt;/contributors&gt;&lt;titles&gt;&lt;title&gt;The deep-pocket effect of internal capital markets&lt;/title&gt;&lt;secondary-title&gt;Journal of Financial Economics&lt;/secondary-title&gt;&lt;/titles&gt;&lt;periodical&gt;&lt;full-title&gt;Journal of Financial Economics&lt;/full-title&gt;&lt;/periodical&gt;&lt;pages&gt;122-145&lt;/pages&gt;&lt;volume&gt;109&lt;/volume&gt;&lt;number&gt;1&lt;/number&gt;&lt;dates&gt;&lt;year&gt;2013&lt;/year&gt;&lt;/dates&gt;&lt;isbn&gt;0304-405X&lt;/isbn&gt;&lt;urls&gt;&lt;/urls&gt;&lt;/record&gt;&lt;/Cite&gt;&lt;/EndNote&gt;</w:instrText>
      </w:r>
      <w:r w:rsidR="00886B05" w:rsidRPr="00F73808">
        <w:rPr>
          <w:rFonts w:ascii="Times New Roman" w:hAnsi="Times New Roman" w:cs="Times New Roman"/>
          <w:szCs w:val="20"/>
        </w:rPr>
        <w:fldChar w:fldCharType="separate"/>
      </w:r>
      <w:hyperlink w:anchor="_ENREF_10" w:tooltip="Boutin, 2013 #129" w:history="1">
        <w:r w:rsidR="00CB5C3F">
          <w:rPr>
            <w:rFonts w:ascii="Times New Roman" w:hAnsi="Times New Roman" w:cs="Times New Roman"/>
            <w:noProof/>
            <w:szCs w:val="20"/>
          </w:rPr>
          <w:t>Boutin et al.</w:t>
        </w:r>
        <w:r w:rsidR="00710C45">
          <w:rPr>
            <w:rFonts w:ascii="Times New Roman" w:hAnsi="Times New Roman" w:cs="Times New Roman"/>
            <w:noProof/>
            <w:szCs w:val="20"/>
          </w:rPr>
          <w:t xml:space="preserve"> (2013</w:t>
        </w:r>
      </w:hyperlink>
      <w:r w:rsidR="00710C45">
        <w:rPr>
          <w:rFonts w:ascii="Times New Roman" w:hAnsi="Times New Roman" w:cs="Times New Roman"/>
          <w:noProof/>
          <w:szCs w:val="20"/>
        </w:rPr>
        <w:t>)</w:t>
      </w:r>
      <w:r w:rsidR="00886B05" w:rsidRPr="00F73808">
        <w:rPr>
          <w:rFonts w:ascii="Times New Roman" w:hAnsi="Times New Roman" w:cs="Times New Roman"/>
          <w:szCs w:val="20"/>
        </w:rPr>
        <w:fldChar w:fldCharType="end"/>
      </w:r>
      <w:r w:rsidR="00F73808" w:rsidRPr="00F73808">
        <w:rPr>
          <w:rFonts w:ascii="Times New Roman" w:hAnsi="Times New Roman" w:cs="Times New Roman"/>
          <w:szCs w:val="20"/>
        </w:rPr>
        <w:t>)</w:t>
      </w:r>
      <w:r w:rsidR="00F73808" w:rsidRPr="00AF7111">
        <w:rPr>
          <w:rStyle w:val="a4"/>
        </w:rPr>
        <w:footnoteReference w:id="11"/>
      </w:r>
      <w:r w:rsidR="00F73808" w:rsidRPr="00F95191">
        <w:rPr>
          <w:rFonts w:ascii="Times New Roman" w:hAnsi="Times New Roman" w:cs="Times New Roman"/>
          <w:szCs w:val="20"/>
        </w:rPr>
        <w:t>.</w:t>
      </w:r>
      <w:r w:rsidR="00F73808" w:rsidRPr="00F73808">
        <w:rPr>
          <w:rFonts w:ascii="Times New Roman" w:hAnsi="Times New Roman" w:cs="Times New Roman"/>
          <w:szCs w:val="20"/>
        </w:rPr>
        <w:t xml:space="preserve"> More specifically, we first identify </w:t>
      </w:r>
      <w:r w:rsidR="00F73808" w:rsidRPr="00F73808">
        <w:rPr>
          <w:rFonts w:ascii="Times New Roman" w:hAnsi="Times New Roman" w:cs="Times New Roman" w:hint="eastAsia"/>
          <w:szCs w:val="20"/>
        </w:rPr>
        <w:t xml:space="preserve">a </w:t>
      </w:r>
      <w:r w:rsidR="00F73808" w:rsidRPr="00F73808">
        <w:rPr>
          <w:rFonts w:ascii="Times New Roman" w:hAnsi="Times New Roman" w:cs="Times New Roman"/>
          <w:szCs w:val="20"/>
        </w:rPr>
        <w:t xml:space="preserve">certain cutoff point of tangibility for non-member firms in each year, and refer non-member firms whose tangibility ratio </w:t>
      </w:r>
      <w:r w:rsidR="00F73808" w:rsidRPr="00F73808">
        <w:rPr>
          <w:rFonts w:ascii="Times New Roman" w:hAnsi="Times New Roman" w:cs="Times New Roman" w:hint="eastAsia"/>
          <w:szCs w:val="20"/>
        </w:rPr>
        <w:t xml:space="preserve">is </w:t>
      </w:r>
      <w:r w:rsidR="00F73808" w:rsidRPr="00F73808">
        <w:rPr>
          <w:rFonts w:ascii="Times New Roman" w:hAnsi="Times New Roman" w:cs="Times New Roman"/>
          <w:szCs w:val="20"/>
        </w:rPr>
        <w:t>below (above) the cutoff point as high (low) financially constrain</w:t>
      </w:r>
      <w:r w:rsidR="00F73808" w:rsidRPr="00F73808">
        <w:rPr>
          <w:rFonts w:ascii="Times New Roman" w:hAnsi="Times New Roman" w:cs="Times New Roman" w:hint="eastAsia"/>
          <w:szCs w:val="20"/>
        </w:rPr>
        <w:t>ed</w:t>
      </w:r>
      <w:r w:rsidR="00F73808" w:rsidRPr="00F73808">
        <w:rPr>
          <w:rFonts w:ascii="Times New Roman" w:hAnsi="Times New Roman" w:cs="Times New Roman"/>
          <w:szCs w:val="20"/>
        </w:rPr>
        <w:t xml:space="preserve"> firms. For cutoff points, we use </w:t>
      </w:r>
      <w:r w:rsidR="00F73808" w:rsidRPr="00F73808">
        <w:rPr>
          <w:rFonts w:ascii="Times New Roman" w:hAnsi="Times New Roman" w:cs="Times New Roman" w:hint="eastAsia"/>
          <w:szCs w:val="20"/>
        </w:rPr>
        <w:t xml:space="preserve">the </w:t>
      </w:r>
      <w:r w:rsidR="00F73808" w:rsidRPr="00F73808">
        <w:rPr>
          <w:rFonts w:ascii="Times New Roman" w:hAnsi="Times New Roman" w:cs="Times New Roman"/>
          <w:szCs w:val="20"/>
        </w:rPr>
        <w:t>median value as well as 30 percentile value</w:t>
      </w:r>
      <w:r w:rsidR="00F73808" w:rsidRPr="00F73808">
        <w:rPr>
          <w:rFonts w:ascii="Times New Roman" w:hAnsi="Times New Roman" w:cs="Times New Roman" w:hint="eastAsia"/>
          <w:szCs w:val="20"/>
        </w:rPr>
        <w:t xml:space="preserve"> of firms</w:t>
      </w:r>
      <w:r w:rsidR="00F73808" w:rsidRPr="00F73808">
        <w:rPr>
          <w:rFonts w:ascii="Times New Roman" w:hAnsi="Times New Roman" w:cs="Times New Roman"/>
          <w:szCs w:val="20"/>
        </w:rPr>
        <w:t>’</w:t>
      </w:r>
      <w:r w:rsidR="00F73808" w:rsidRPr="00F73808">
        <w:rPr>
          <w:rFonts w:ascii="Times New Roman" w:hAnsi="Times New Roman" w:cs="Times New Roman" w:hint="eastAsia"/>
          <w:szCs w:val="20"/>
        </w:rPr>
        <w:t xml:space="preserve"> tangibility ratio</w:t>
      </w:r>
      <w:r w:rsidR="00F73808" w:rsidRPr="00F73808">
        <w:rPr>
          <w:rFonts w:ascii="Times New Roman" w:hAnsi="Times New Roman" w:cs="Times New Roman"/>
          <w:szCs w:val="20"/>
        </w:rPr>
        <w:t xml:space="preserve">. Then we perform a subsample analysis separately for </w:t>
      </w:r>
      <w:bookmarkStart w:id="0" w:name="_GoBack"/>
      <w:bookmarkEnd w:id="0"/>
      <w:r w:rsidR="00F73808" w:rsidRPr="00F73808">
        <w:rPr>
          <w:rFonts w:ascii="Times New Roman" w:hAnsi="Times New Roman" w:cs="Times New Roman"/>
          <w:szCs w:val="20"/>
        </w:rPr>
        <w:t>high and low financially constrain</w:t>
      </w:r>
      <w:r w:rsidR="00F73808" w:rsidRPr="00F73808">
        <w:rPr>
          <w:rFonts w:ascii="Times New Roman" w:hAnsi="Times New Roman" w:cs="Times New Roman" w:hint="eastAsia"/>
          <w:szCs w:val="20"/>
        </w:rPr>
        <w:t>ed</w:t>
      </w:r>
      <w:r w:rsidR="00F73808" w:rsidRPr="00F73808">
        <w:rPr>
          <w:rFonts w:ascii="Times New Roman" w:hAnsi="Times New Roman" w:cs="Times New Roman"/>
          <w:szCs w:val="20"/>
        </w:rPr>
        <w:t xml:space="preserve"> non-member firms based on equation (4) and (5). The results using </w:t>
      </w:r>
      <w:r w:rsidR="00F73808" w:rsidRPr="00F73808">
        <w:rPr>
          <w:rFonts w:ascii="Times New Roman" w:hAnsi="Times New Roman" w:cs="Times New Roman" w:hint="eastAsia"/>
          <w:szCs w:val="20"/>
        </w:rPr>
        <w:t xml:space="preserve">the </w:t>
      </w:r>
      <w:r w:rsidR="00F73808" w:rsidRPr="00F73808">
        <w:rPr>
          <w:rFonts w:ascii="Times New Roman" w:hAnsi="Times New Roman" w:cs="Times New Roman"/>
          <w:szCs w:val="20"/>
        </w:rPr>
        <w:t xml:space="preserve">median value </w:t>
      </w:r>
      <w:r w:rsidR="00F73808" w:rsidRPr="00F73808">
        <w:rPr>
          <w:rFonts w:ascii="Times New Roman" w:hAnsi="Times New Roman" w:cs="Times New Roman" w:hint="eastAsia"/>
          <w:szCs w:val="20"/>
        </w:rPr>
        <w:t xml:space="preserve">(30 percentile value) </w:t>
      </w:r>
      <w:r w:rsidR="00F73808" w:rsidRPr="00F73808">
        <w:rPr>
          <w:rFonts w:ascii="Times New Roman" w:hAnsi="Times New Roman" w:cs="Times New Roman"/>
          <w:szCs w:val="20"/>
        </w:rPr>
        <w:t xml:space="preserve">as </w:t>
      </w:r>
      <w:r w:rsidR="00F73808" w:rsidRPr="00F73808">
        <w:rPr>
          <w:rFonts w:ascii="Times New Roman" w:hAnsi="Times New Roman" w:cs="Times New Roman" w:hint="eastAsia"/>
          <w:szCs w:val="20"/>
        </w:rPr>
        <w:t xml:space="preserve">a </w:t>
      </w:r>
      <w:r w:rsidR="00F73808" w:rsidRPr="00F73808">
        <w:rPr>
          <w:rFonts w:ascii="Times New Roman" w:hAnsi="Times New Roman" w:cs="Times New Roman"/>
          <w:szCs w:val="20"/>
        </w:rPr>
        <w:t xml:space="preserve">cutoff point are reported in Table 5 </w:t>
      </w:r>
      <w:r w:rsidR="00F73808" w:rsidRPr="00F73808">
        <w:rPr>
          <w:rFonts w:ascii="Times New Roman" w:hAnsi="Times New Roman" w:cs="Times New Roman" w:hint="eastAsia"/>
          <w:szCs w:val="20"/>
        </w:rPr>
        <w:t>(6).</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T</w:t>
      </w:r>
      <w:r w:rsidRPr="00F73808">
        <w:rPr>
          <w:rFonts w:ascii="Times New Roman" w:hAnsi="Times New Roman" w:cs="Times New Roman"/>
          <w:szCs w:val="20"/>
        </w:rPr>
        <w:t xml:space="preserve">he results in Table 5 show that while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is statistically significant </w:t>
      </w:r>
      <w:r w:rsidRPr="00F73808">
        <w:rPr>
          <w:rFonts w:ascii="Times New Roman" w:hAnsi="Times New Roman" w:cs="Times New Roman" w:hint="eastAsia"/>
          <w:szCs w:val="20"/>
        </w:rPr>
        <w:t xml:space="preserve">for </w:t>
      </w:r>
      <w:r w:rsidRPr="00F73808">
        <w:rPr>
          <w:rFonts w:ascii="Times New Roman" w:hAnsi="Times New Roman" w:cs="Times New Roman"/>
          <w:szCs w:val="20"/>
        </w:rPr>
        <w:t>both</w:t>
      </w:r>
      <w:r w:rsidRPr="00F73808">
        <w:rPr>
          <w:rFonts w:ascii="Times New Roman" w:hAnsi="Times New Roman" w:cs="Times New Roman" w:hint="eastAsia"/>
          <w:szCs w:val="20"/>
        </w:rPr>
        <w:t xml:space="preserve"> </w:t>
      </w:r>
      <w:r w:rsidRPr="00F73808">
        <w:rPr>
          <w:rFonts w:ascii="Times New Roman" w:hAnsi="Times New Roman" w:cs="Times New Roman"/>
          <w:szCs w:val="20"/>
        </w:rPr>
        <w:t xml:space="preserve">non-member firms with </w:t>
      </w:r>
      <w:r w:rsidRPr="00F73808">
        <w:rPr>
          <w:rFonts w:ascii="Times New Roman" w:hAnsi="Times New Roman" w:cs="Times New Roman" w:hint="eastAsia"/>
          <w:szCs w:val="20"/>
        </w:rPr>
        <w:t>low</w:t>
      </w:r>
      <w:r w:rsidRPr="00F73808">
        <w:rPr>
          <w:rFonts w:ascii="Times New Roman" w:hAnsi="Times New Roman" w:cs="Times New Roman"/>
          <w:szCs w:val="20"/>
        </w:rPr>
        <w:t xml:space="preserve"> and </w:t>
      </w:r>
      <w:r w:rsidRPr="00F73808">
        <w:rPr>
          <w:rFonts w:ascii="Times New Roman" w:hAnsi="Times New Roman" w:cs="Times New Roman" w:hint="eastAsia"/>
          <w:szCs w:val="20"/>
        </w:rPr>
        <w:t>high</w:t>
      </w:r>
      <w:r w:rsidRPr="00F73808">
        <w:rPr>
          <w:rFonts w:ascii="Times New Roman" w:hAnsi="Times New Roman" w:cs="Times New Roman"/>
          <w:szCs w:val="20"/>
        </w:rPr>
        <w:t xml:space="preserve"> tangibility ratio,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is much stronger for the low tangibility ratio sample</w:t>
      </w:r>
      <w:r w:rsidRPr="00F73808">
        <w:rPr>
          <w:rFonts w:ascii="Times New Roman" w:hAnsi="Times New Roman" w:cs="Times New Roman" w:hint="eastAsia"/>
          <w:szCs w:val="20"/>
        </w:rPr>
        <w:t xml:space="preserve"> or firms with high financial constraint</w:t>
      </w:r>
      <w:r w:rsidRPr="00F73808">
        <w:rPr>
          <w:rFonts w:ascii="Times New Roman" w:hAnsi="Times New Roman" w:cs="Times New Roman"/>
          <w:szCs w:val="20"/>
        </w:rPr>
        <w:t>. For example, the coefficient of BSDI is 0.53 for the high tangibility sample when financial distress risk is measured by KL-score, but for low tangibility sample, the number almost doubled and increases to 0.98</w:t>
      </w:r>
      <w:r w:rsidRPr="00F73808">
        <w:rPr>
          <w:rFonts w:ascii="Times New Roman" w:hAnsi="Times New Roman" w:cs="Times New Roman" w:hint="eastAsia"/>
          <w:szCs w:val="20"/>
        </w:rPr>
        <w:t xml:space="preserve"> and </w:t>
      </w:r>
      <w:r w:rsidRPr="00F73808">
        <w:rPr>
          <w:rFonts w:ascii="Times New Roman" w:hAnsi="Times New Roman" w:cs="Times New Roman"/>
          <w:szCs w:val="20"/>
        </w:rPr>
        <w:t xml:space="preserve">the </w:t>
      </w:r>
      <w:r w:rsidRPr="00F73808">
        <w:rPr>
          <w:rFonts w:ascii="Times New Roman" w:hAnsi="Times New Roman" w:cs="Times New Roman" w:hint="eastAsia"/>
          <w:szCs w:val="20"/>
        </w:rPr>
        <w:t>statistical significance a</w:t>
      </w:r>
      <w:r w:rsidRPr="00F73808">
        <w:rPr>
          <w:rFonts w:ascii="Times New Roman" w:hAnsi="Times New Roman" w:cs="Times New Roman"/>
          <w:szCs w:val="20"/>
        </w:rPr>
        <w:t xml:space="preserve">lso increases significantly. </w:t>
      </w:r>
      <w:r w:rsidRPr="00F73808">
        <w:rPr>
          <w:rFonts w:ascii="Times New Roman" w:hAnsi="Times New Roman" w:cs="Times New Roman" w:hint="eastAsia"/>
          <w:szCs w:val="20"/>
        </w:rPr>
        <w:t>The difference in the coefficients of the same business group influence measure (BSDI and its two orthogonal components: BG MKT Share and ICM Size) between low and high tangibility sample is tested for statistical significa</w:t>
      </w:r>
      <w:r w:rsidR="007852F2">
        <w:rPr>
          <w:rFonts w:ascii="Times New Roman" w:hAnsi="Times New Roman" w:cs="Times New Roman" w:hint="eastAsia"/>
          <w:szCs w:val="20"/>
        </w:rPr>
        <w:t>nce</w:t>
      </w:r>
      <w:r w:rsidR="00BD72E1">
        <w:rPr>
          <w:rFonts w:ascii="Times New Roman" w:hAnsi="Times New Roman" w:cs="Times New Roman" w:hint="eastAsia"/>
          <w:szCs w:val="20"/>
        </w:rPr>
        <w:t xml:space="preserve"> and reported </w:t>
      </w:r>
      <w:r w:rsidR="00BD72E1">
        <w:rPr>
          <w:rFonts w:ascii="Times New Roman" w:hAnsi="Times New Roman" w:cs="Times New Roman" w:hint="eastAsia"/>
          <w:szCs w:val="20"/>
        </w:rPr>
        <w:lastRenderedPageBreak/>
        <w:t>in Panel B</w:t>
      </w:r>
      <w:r w:rsidR="007852F2">
        <w:rPr>
          <w:rFonts w:ascii="Times New Roman" w:hAnsi="Times New Roman" w:cs="Times New Roman" w:hint="eastAsia"/>
          <w:szCs w:val="20"/>
        </w:rPr>
        <w:t xml:space="preserve">. </w:t>
      </w:r>
      <w:r w:rsidRPr="00F73808">
        <w:rPr>
          <w:rFonts w:ascii="Times New Roman" w:hAnsi="Times New Roman" w:cs="Times New Roman" w:hint="eastAsia"/>
          <w:szCs w:val="20"/>
        </w:rPr>
        <w:t xml:space="preserve">For each difference, we perform a Z test </w:t>
      </w:r>
      <w:r w:rsidRPr="00F73808">
        <w:rPr>
          <w:rFonts w:ascii="Times New Roman" w:hAnsi="Times New Roman" w:cs="Times New Roman"/>
          <w:szCs w:val="20"/>
        </w:rPr>
        <w:t>developed</w:t>
      </w:r>
      <w:r w:rsidRPr="00F73808">
        <w:rPr>
          <w:rFonts w:ascii="Times New Roman" w:hAnsi="Times New Roman" w:cs="Times New Roman" w:hint="eastAsia"/>
          <w:szCs w:val="20"/>
        </w:rPr>
        <w:t xml:space="preserve"> by </w:t>
      </w:r>
      <w:proofErr w:type="spellStart"/>
      <w:r w:rsidRPr="00F73808">
        <w:rPr>
          <w:rFonts w:ascii="Times New Roman" w:hAnsi="Times New Roman" w:cs="Times New Roman"/>
          <w:szCs w:val="20"/>
        </w:rPr>
        <w:t>Clogg</w:t>
      </w:r>
      <w:proofErr w:type="spellEnd"/>
      <w:r w:rsidRPr="00F73808">
        <w:rPr>
          <w:rFonts w:ascii="Times New Roman" w:hAnsi="Times New Roman" w:cs="Times New Roman" w:hint="eastAsia"/>
          <w:szCs w:val="20"/>
        </w:rPr>
        <w:t xml:space="preserve"> et al. </w:t>
      </w:r>
      <w:r w:rsidRPr="00F73808">
        <w:rPr>
          <w:rFonts w:ascii="Times New Roman" w:hAnsi="Times New Roman" w:cs="Times New Roman"/>
          <w:szCs w:val="20"/>
        </w:rPr>
        <w:t>(1995)</w:t>
      </w:r>
      <w:r w:rsidRPr="00F73808">
        <w:rPr>
          <w:rFonts w:ascii="Times New Roman" w:hAnsi="Times New Roman" w:cs="Times New Roman" w:hint="eastAsia"/>
          <w:szCs w:val="20"/>
        </w:rPr>
        <w:t xml:space="preserve"> to see whether it is statistically different from zero. We can see that </w:t>
      </w:r>
      <w:r w:rsidRPr="00F73808">
        <w:rPr>
          <w:rFonts w:ascii="Times New Roman" w:hAnsi="Times New Roman" w:cs="Times New Roman"/>
          <w:szCs w:val="20"/>
        </w:rPr>
        <w:t>the difference in the coefficient</w:t>
      </w:r>
      <w:r w:rsidRPr="00F73808">
        <w:rPr>
          <w:rFonts w:ascii="Times New Roman" w:hAnsi="Times New Roman" w:cs="Times New Roman" w:hint="eastAsia"/>
          <w:szCs w:val="20"/>
        </w:rPr>
        <w:t xml:space="preserve"> of BSDI between low and high tangibility sample, </w:t>
      </w:r>
      <w:r w:rsidRPr="00F73808">
        <w:rPr>
          <w:rFonts w:ascii="Times New Roman" w:hAnsi="Times New Roman" w:cs="Times New Roman"/>
          <w:szCs w:val="20"/>
        </w:rPr>
        <w:t>0.4</w:t>
      </w:r>
      <w:r w:rsidRPr="00F73808">
        <w:rPr>
          <w:rFonts w:ascii="Times New Roman" w:hAnsi="Times New Roman" w:cs="Times New Roman" w:hint="eastAsia"/>
          <w:szCs w:val="20"/>
        </w:rPr>
        <w:t>4</w:t>
      </w:r>
      <w:r w:rsidRPr="00F73808">
        <w:rPr>
          <w:rFonts w:ascii="Times New Roman" w:hAnsi="Times New Roman" w:cs="Times New Roman"/>
          <w:szCs w:val="20"/>
        </w:rPr>
        <w:t xml:space="preserve">, is statistically significant at 10% level. The </w:t>
      </w:r>
      <w:r w:rsidRPr="00F73808">
        <w:rPr>
          <w:rFonts w:ascii="Times New Roman" w:hAnsi="Times New Roman" w:cs="Times New Roman" w:hint="eastAsia"/>
          <w:szCs w:val="20"/>
        </w:rPr>
        <w:t>similar results can</w:t>
      </w:r>
      <w:r w:rsidRPr="00F73808">
        <w:rPr>
          <w:rFonts w:ascii="Times New Roman" w:hAnsi="Times New Roman" w:cs="Times New Roman"/>
          <w:szCs w:val="20"/>
        </w:rPr>
        <w:t xml:space="preserve"> be observed for the coefficients of the BG MKT Share and the ICM Size. For example, the coefficient of ICM Size </w:t>
      </w:r>
      <w:r w:rsidRPr="00F73808">
        <w:rPr>
          <w:rFonts w:ascii="Times New Roman" w:hAnsi="Times New Roman" w:cs="Times New Roman" w:hint="eastAsia"/>
          <w:szCs w:val="20"/>
        </w:rPr>
        <w:t>increase</w:t>
      </w:r>
      <w:r w:rsidRPr="00F73808">
        <w:rPr>
          <w:rFonts w:ascii="Times New Roman" w:hAnsi="Times New Roman" w:cs="Times New Roman"/>
          <w:szCs w:val="20"/>
        </w:rPr>
        <w:t>s from 0.52 to 1.36 (more than twice larger in magnitude) from high tangibility to low tangibility sample when financial distress risk is measured by KM-score, and the difference</w:t>
      </w:r>
      <w:r w:rsidRPr="00F73808">
        <w:rPr>
          <w:rFonts w:ascii="Times New Roman" w:hAnsi="Times New Roman" w:cs="Times New Roman" w:hint="eastAsia"/>
          <w:szCs w:val="20"/>
        </w:rPr>
        <w:t xml:space="preserve"> (0.83)</w:t>
      </w:r>
      <w:r w:rsidRPr="00F73808">
        <w:rPr>
          <w:rFonts w:ascii="Times New Roman" w:hAnsi="Times New Roman" w:cs="Times New Roman"/>
          <w:szCs w:val="20"/>
        </w:rPr>
        <w:t xml:space="preserve"> is also statistically significant at 10% level.</w:t>
      </w:r>
    </w:p>
    <w:p w:rsidR="00F73808" w:rsidRP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[Insert Table 6 about here]</w:t>
      </w:r>
    </w:p>
    <w:p w:rsid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The results in Table 6 show that when </w:t>
      </w:r>
      <w:r w:rsidRPr="00F73808">
        <w:rPr>
          <w:rFonts w:ascii="Times New Roman" w:hAnsi="Times New Roman" w:cs="Times New Roman" w:hint="eastAsia"/>
          <w:szCs w:val="20"/>
        </w:rPr>
        <w:t xml:space="preserve">30 percentile value of tangibility ratio is used as </w:t>
      </w:r>
      <w:r w:rsidRPr="00F73808">
        <w:rPr>
          <w:rFonts w:ascii="Times New Roman" w:hAnsi="Times New Roman" w:cs="Times New Roman"/>
          <w:szCs w:val="20"/>
        </w:rPr>
        <w:t xml:space="preserve">the cutoff point and thus the low tangibility sample consists of non-member firms whose tangibility ratio </w:t>
      </w:r>
      <w:r w:rsidRPr="00F73808">
        <w:rPr>
          <w:rFonts w:ascii="Times New Roman" w:hAnsi="Times New Roman" w:cs="Times New Roman" w:hint="eastAsia"/>
          <w:szCs w:val="20"/>
        </w:rPr>
        <w:t>is</w:t>
      </w:r>
      <w:r w:rsidRPr="00F73808">
        <w:rPr>
          <w:rFonts w:ascii="Times New Roman" w:hAnsi="Times New Roman" w:cs="Times New Roman"/>
          <w:szCs w:val="20"/>
        </w:rPr>
        <w:t xml:space="preserve"> even lower than that of the low tangibility non-member firms in Table 5,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is even stronger. For </w:t>
      </w:r>
      <w:r w:rsidRPr="00F73808">
        <w:rPr>
          <w:rFonts w:ascii="Times New Roman" w:hAnsi="Times New Roman" w:cs="Times New Roman" w:hint="eastAsia"/>
          <w:szCs w:val="20"/>
        </w:rPr>
        <w:t>instance</w:t>
      </w:r>
      <w:r w:rsidRPr="00F73808">
        <w:rPr>
          <w:rFonts w:ascii="Times New Roman" w:hAnsi="Times New Roman" w:cs="Times New Roman"/>
          <w:szCs w:val="20"/>
        </w:rPr>
        <w:t xml:space="preserve">, </w:t>
      </w:r>
      <w:r w:rsidRPr="00F73808">
        <w:rPr>
          <w:rFonts w:ascii="Times New Roman" w:hAnsi="Times New Roman" w:cs="Times New Roman" w:hint="eastAsia"/>
          <w:szCs w:val="20"/>
        </w:rPr>
        <w:t>I</w:t>
      </w:r>
      <w:r w:rsidRPr="00F73808">
        <w:rPr>
          <w:rFonts w:ascii="Times New Roman" w:hAnsi="Times New Roman" w:cs="Times New Roman"/>
          <w:szCs w:val="20"/>
        </w:rPr>
        <w:t xml:space="preserve">n Table 5, the coefficient of the BSDI for the low tangibility sample is 1.42 when financial distress risk is measured by KM-score, </w:t>
      </w:r>
      <w:r w:rsidRPr="00F73808">
        <w:rPr>
          <w:rFonts w:ascii="Times New Roman" w:hAnsi="Times New Roman" w:cs="Times New Roman" w:hint="eastAsia"/>
          <w:szCs w:val="20"/>
        </w:rPr>
        <w:t xml:space="preserve">whereas </w:t>
      </w:r>
      <w:r w:rsidRPr="00F73808">
        <w:rPr>
          <w:rFonts w:ascii="Times New Roman" w:hAnsi="Times New Roman" w:cs="Times New Roman"/>
          <w:szCs w:val="20"/>
        </w:rPr>
        <w:t xml:space="preserve">the number increases to 1.87 (more than 32% increase in magnitude) in Table 6. Therefore, the results in Table 5 and 6 show that the industry wide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increase</w:t>
      </w:r>
      <w:r w:rsidRPr="00F73808">
        <w:rPr>
          <w:rFonts w:ascii="Times New Roman" w:hAnsi="Times New Roman" w:cs="Times New Roman" w:hint="eastAsia"/>
          <w:szCs w:val="20"/>
        </w:rPr>
        <w:t>s</w:t>
      </w:r>
      <w:r w:rsidRPr="00F73808">
        <w:rPr>
          <w:rFonts w:ascii="Times New Roman" w:hAnsi="Times New Roman" w:cs="Times New Roman"/>
          <w:szCs w:val="20"/>
        </w:rPr>
        <w:t xml:space="preserve"> the financial distress risk of non-member firms in general, </w:t>
      </w:r>
      <w:r w:rsidRPr="00F73808">
        <w:rPr>
          <w:rFonts w:ascii="Times New Roman" w:hAnsi="Times New Roman" w:cs="Times New Roman" w:hint="eastAsia"/>
          <w:szCs w:val="20"/>
        </w:rPr>
        <w:t xml:space="preserve">and furthermore, </w:t>
      </w:r>
      <w:r w:rsidRPr="00F73808">
        <w:rPr>
          <w:rFonts w:ascii="Times New Roman" w:hAnsi="Times New Roman" w:cs="Times New Roman"/>
          <w:szCs w:val="20"/>
        </w:rPr>
        <w:t xml:space="preserve">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is </w:t>
      </w:r>
      <w:r w:rsidRPr="00F73808">
        <w:rPr>
          <w:rFonts w:ascii="Times New Roman" w:hAnsi="Times New Roman" w:cs="Times New Roman" w:hint="eastAsia"/>
          <w:szCs w:val="20"/>
        </w:rPr>
        <w:t xml:space="preserve">even </w:t>
      </w:r>
      <w:r w:rsidRPr="00F73808">
        <w:rPr>
          <w:rFonts w:ascii="Times New Roman" w:hAnsi="Times New Roman" w:cs="Times New Roman"/>
          <w:szCs w:val="20"/>
        </w:rPr>
        <w:t xml:space="preserve">more predominant for non-member firms with high financial constraint. This </w:t>
      </w:r>
      <w:r w:rsidRPr="00F73808">
        <w:rPr>
          <w:rFonts w:ascii="Times New Roman" w:hAnsi="Times New Roman" w:cs="Times New Roman" w:hint="eastAsia"/>
          <w:szCs w:val="20"/>
        </w:rPr>
        <w:t xml:space="preserve">result supports </w:t>
      </w:r>
      <w:r w:rsidRPr="00F73808">
        <w:rPr>
          <w:rFonts w:ascii="Times New Roman" w:hAnsi="Times New Roman" w:cs="Times New Roman"/>
          <w:szCs w:val="20"/>
        </w:rPr>
        <w:t xml:space="preserve">Hypothesis 3. </w:t>
      </w:r>
    </w:p>
    <w:p w:rsidR="00537236" w:rsidRPr="00F73808" w:rsidRDefault="00537236" w:rsidP="0030091E">
      <w:pPr>
        <w:spacing w:line="480" w:lineRule="auto"/>
        <w:ind w:firstLineChars="100" w:firstLine="200"/>
        <w:contextualSpacing/>
        <w:rPr>
          <w:rFonts w:ascii="Times New Roman" w:hAnsi="Times New Roman" w:cs="Times New Roman"/>
          <w:szCs w:val="20"/>
        </w:rPr>
      </w:pP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4</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Exogenous shock in financial market and business group’</w:t>
      </w:r>
      <w:r w:rsidRPr="0030091E">
        <w:rPr>
          <w:rFonts w:ascii="Times New Roman" w:hAnsi="Times New Roman" w:cs="Times New Roman" w:hint="eastAsia"/>
          <w:sz w:val="24"/>
          <w:szCs w:val="24"/>
        </w:rPr>
        <w:t>s influence</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In this section, we examine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on non-member firms’ financial distress risk when there is an exogenous negative shock in the financial sector. Following previous literature </w:t>
      </w:r>
      <w:r w:rsidR="00F95191">
        <w:rPr>
          <w:rFonts w:ascii="Times New Roman" w:hAnsi="Times New Roman" w:cs="Times New Roman" w:hint="eastAsia"/>
          <w:szCs w:val="20"/>
        </w:rPr>
        <w:t>such as</w:t>
      </w:r>
      <w:r w:rsidRPr="00F73808">
        <w:rPr>
          <w:rFonts w:ascii="Times New Roman" w:hAnsi="Times New Roman" w:cs="Times New Roman"/>
          <w:szCs w:val="20"/>
        </w:rPr>
        <w:t xml:space="preserve"> </w:t>
      </w:r>
      <w:r w:rsidR="00886B05" w:rsidRPr="00F73808">
        <w:rPr>
          <w:rFonts w:ascii="Times New Roman" w:hAnsi="Times New Roman" w:cs="Times New Roman"/>
          <w:szCs w:val="20"/>
        </w:rPr>
        <w:fldChar w:fldCharType="begin"/>
      </w:r>
      <w:r w:rsidR="00710C45">
        <w:rPr>
          <w:rFonts w:ascii="Times New Roman" w:hAnsi="Times New Roman" w:cs="Times New Roman"/>
          <w:szCs w:val="20"/>
        </w:rPr>
        <w:instrText xml:space="preserve"> ADDIN EN.CITE &lt;EndNote&gt;&lt;Cite&gt;&lt;Author&gt;Chiu&lt;/Author&gt;&lt;Year&gt;2015&lt;/Year&gt;&lt;RecNum&gt;96&lt;/RecNum&gt;&lt;DisplayText&gt;Chiu, Peña and Wang (2015)&lt;/DisplayText&gt;&lt;record&gt;&lt;rec-number&gt;96&lt;/rec-number&gt;&lt;foreign-keys&gt;&lt;key app="EN" db-id="0w9rezxppe2pzrezf0lpzvz3rp29t2ds5e5t"&gt;96&lt;/key&gt;&lt;/foreign-keys&gt;&lt;ref-type name="Journal Article"&gt;17&lt;/ref-type&gt;&lt;contributors&gt;&lt;authors&gt;&lt;author&gt;Chiu, Wan-Chien&lt;/author&gt;&lt;author&gt;Peña, Juan Ignacio&lt;/author&gt;&lt;author&gt;Wang, Chih-Wei&lt;/author&gt;&lt;/authors&gt;&lt;/contributors&gt;&lt;titles&gt;&lt;title&gt;Industry characteristics and financial risk contagion&lt;/title&gt;&lt;secondary-title&gt;Journal of Banking &amp;amp; Finance&lt;/secondary-title&gt;&lt;/titles&gt;&lt;periodical&gt;&lt;full-title&gt;Journal of Banking &amp;amp; Finance&lt;/full-title&gt;&lt;/periodical&gt;&lt;pages&gt;411-427&lt;/pages&gt;&lt;volume&gt;50&lt;/volume&gt;&lt;dates&gt;&lt;year&gt;2015&lt;/year&gt;&lt;/dates&gt;&lt;isbn&gt;0378-4266&lt;/isbn&gt;&lt;urls&gt;&lt;/urls&gt;&lt;/record&gt;&lt;/Cite&gt;&lt;/EndNote&gt;</w:instrText>
      </w:r>
      <w:r w:rsidR="00886B05" w:rsidRPr="00F73808">
        <w:rPr>
          <w:rFonts w:ascii="Times New Roman" w:hAnsi="Times New Roman" w:cs="Times New Roman"/>
          <w:szCs w:val="20"/>
        </w:rPr>
        <w:fldChar w:fldCharType="separate"/>
      </w:r>
      <w:r w:rsidR="00F95191">
        <w:rPr>
          <w:rFonts w:ascii="Times New Roman" w:hAnsi="Times New Roman" w:cs="Times New Roman"/>
          <w:noProof/>
          <w:szCs w:val="20"/>
        </w:rPr>
        <w:t>Chiu et al.</w:t>
      </w:r>
      <w:r w:rsidR="00710C45">
        <w:rPr>
          <w:rFonts w:ascii="Times New Roman" w:hAnsi="Times New Roman" w:cs="Times New Roman"/>
          <w:noProof/>
          <w:szCs w:val="20"/>
        </w:rPr>
        <w:t xml:space="preserve"> (2015)</w:t>
      </w:r>
      <w:r w:rsidR="00886B05" w:rsidRPr="00F73808">
        <w:rPr>
          <w:rFonts w:ascii="Times New Roman" w:hAnsi="Times New Roman" w:cs="Times New Roman"/>
          <w:szCs w:val="20"/>
        </w:rPr>
        <w:fldChar w:fldCharType="end"/>
      </w:r>
      <w:r w:rsidRPr="00F73808">
        <w:rPr>
          <w:rFonts w:ascii="Times New Roman" w:hAnsi="Times New Roman" w:cs="Times New Roman"/>
          <w:szCs w:val="20"/>
        </w:rPr>
        <w:t xml:space="preserve">, we define the global financial crisis period (2007 – 2009) as the period of negative </w:t>
      </w:r>
      <w:r w:rsidRPr="00F73808">
        <w:rPr>
          <w:rFonts w:ascii="Times New Roman" w:hAnsi="Times New Roman" w:cs="Times New Roman" w:hint="eastAsia"/>
          <w:szCs w:val="20"/>
        </w:rPr>
        <w:t xml:space="preserve">shock in the </w:t>
      </w:r>
      <w:r w:rsidRPr="00F73808">
        <w:rPr>
          <w:rFonts w:ascii="Times New Roman" w:hAnsi="Times New Roman" w:cs="Times New Roman"/>
          <w:szCs w:val="20"/>
        </w:rPr>
        <w:t>financial sector and the remaining period in our sample are referred to as non-crisis period.</w:t>
      </w:r>
    </w:p>
    <w:p w:rsidR="00F73808" w:rsidRP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 xml:space="preserve">[Insert Table </w:t>
      </w:r>
      <w:r w:rsidRPr="00F73808">
        <w:rPr>
          <w:rFonts w:ascii="Times New Roman" w:hAnsi="Times New Roman" w:cs="Times New Roman" w:hint="eastAsia"/>
          <w:szCs w:val="20"/>
        </w:rPr>
        <w:t>7</w:t>
      </w:r>
      <w:r w:rsidRPr="00F73808">
        <w:rPr>
          <w:rFonts w:ascii="Times New Roman" w:hAnsi="Times New Roman" w:cs="Times New Roman"/>
          <w:szCs w:val="20"/>
        </w:rPr>
        <w:t xml:space="preserve"> about here]</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Both for the crisis period and non-crisis period, we estimate equation (4) and (5) and the results are presented in Table 7. First of all, the results show that industry</w:t>
      </w:r>
      <w:r w:rsidRPr="00F73808">
        <w:rPr>
          <w:rFonts w:ascii="Times New Roman" w:hAnsi="Times New Roman" w:cs="Times New Roman" w:hint="eastAsia"/>
          <w:szCs w:val="20"/>
        </w:rPr>
        <w:t>-</w:t>
      </w:r>
      <w:r w:rsidRPr="00F73808">
        <w:rPr>
          <w:rFonts w:ascii="Times New Roman" w:hAnsi="Times New Roman" w:cs="Times New Roman"/>
          <w:szCs w:val="20"/>
        </w:rPr>
        <w:t xml:space="preserve">wide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increase</w:t>
      </w:r>
      <w:r w:rsidRPr="00F73808">
        <w:rPr>
          <w:rFonts w:ascii="Times New Roman" w:hAnsi="Times New Roman" w:cs="Times New Roman" w:hint="eastAsia"/>
          <w:szCs w:val="20"/>
        </w:rPr>
        <w:t>s</w:t>
      </w:r>
      <w:r w:rsidRPr="00F73808">
        <w:rPr>
          <w:rFonts w:ascii="Times New Roman" w:hAnsi="Times New Roman" w:cs="Times New Roman"/>
          <w:szCs w:val="20"/>
        </w:rPr>
        <w:t xml:space="preserve"> non-member firms’ financial distress risk both for the crisis and the non-crisis periods</w:t>
      </w:r>
      <w:r w:rsidRPr="00F73808">
        <w:rPr>
          <w:rFonts w:ascii="Times New Roman" w:hAnsi="Times New Roman" w:cs="Times New Roman" w:hint="eastAsia"/>
          <w:szCs w:val="20"/>
        </w:rPr>
        <w:t>.</w:t>
      </w:r>
      <w:r w:rsidRPr="00F73808">
        <w:rPr>
          <w:rFonts w:ascii="Times New Roman" w:hAnsi="Times New Roman" w:cs="Times New Roman"/>
          <w:szCs w:val="20"/>
        </w:rPr>
        <w:t xml:space="preserve"> Second and more importantly,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is much </w:t>
      </w:r>
      <w:r w:rsidRPr="00F73808">
        <w:rPr>
          <w:rFonts w:ascii="Times New Roman" w:hAnsi="Times New Roman" w:cs="Times New Roman" w:hint="eastAsia"/>
          <w:szCs w:val="20"/>
        </w:rPr>
        <w:t>stronger</w:t>
      </w:r>
      <w:r w:rsidRPr="00F73808">
        <w:rPr>
          <w:rFonts w:ascii="Times New Roman" w:hAnsi="Times New Roman" w:cs="Times New Roman"/>
          <w:szCs w:val="20"/>
        </w:rPr>
        <w:t xml:space="preserve"> during the crisis period. </w:t>
      </w:r>
      <w:r w:rsidRPr="00F73808">
        <w:rPr>
          <w:rFonts w:ascii="Times New Roman" w:hAnsi="Times New Roman" w:cs="Times New Roman" w:hint="eastAsia"/>
          <w:szCs w:val="20"/>
        </w:rPr>
        <w:t>Specifically</w:t>
      </w:r>
      <w:r w:rsidRPr="00F73808">
        <w:rPr>
          <w:rFonts w:ascii="Times New Roman" w:hAnsi="Times New Roman" w:cs="Times New Roman"/>
          <w:szCs w:val="20"/>
        </w:rPr>
        <w:t xml:space="preserve">, the BSDI’s coefficient is 0.83 during the non-crisis period when financial distress risk is measured by KL-score, but jumps to 2.07 during the global financial crisis period. Also, </w:t>
      </w:r>
      <w:r w:rsidR="007852F2">
        <w:rPr>
          <w:rFonts w:ascii="Times New Roman" w:hAnsi="Times New Roman" w:cs="Times New Roman" w:hint="eastAsia"/>
          <w:szCs w:val="20"/>
        </w:rPr>
        <w:t>as shown in Table 7,</w:t>
      </w:r>
      <w:r w:rsidRPr="00F73808">
        <w:rPr>
          <w:rFonts w:ascii="Times New Roman" w:hAnsi="Times New Roman" w:cs="Times New Roman" w:hint="eastAsia"/>
          <w:szCs w:val="20"/>
        </w:rPr>
        <w:t xml:space="preserve"> </w:t>
      </w:r>
      <w:r w:rsidRPr="00F73808">
        <w:rPr>
          <w:rFonts w:ascii="Times New Roman" w:hAnsi="Times New Roman" w:cs="Times New Roman"/>
          <w:szCs w:val="20"/>
        </w:rPr>
        <w:t>the difference</w:t>
      </w:r>
      <w:r w:rsidRPr="00F73808">
        <w:rPr>
          <w:rFonts w:ascii="Times New Roman" w:hAnsi="Times New Roman" w:cs="Times New Roman" w:hint="eastAsia"/>
          <w:szCs w:val="20"/>
        </w:rPr>
        <w:t xml:space="preserve"> (</w:t>
      </w:r>
      <w:r w:rsidRPr="00F73808">
        <w:rPr>
          <w:rFonts w:ascii="Times New Roman" w:hAnsi="Times New Roman" w:cs="Times New Roman"/>
          <w:szCs w:val="20"/>
        </w:rPr>
        <w:t>1.24</w:t>
      </w:r>
      <w:r w:rsidRPr="00F73808">
        <w:rPr>
          <w:rFonts w:ascii="Times New Roman" w:hAnsi="Times New Roman" w:cs="Times New Roman" w:hint="eastAsia"/>
          <w:szCs w:val="20"/>
        </w:rPr>
        <w:t>)</w:t>
      </w:r>
      <w:r w:rsidRPr="00F73808">
        <w:rPr>
          <w:rFonts w:ascii="Times New Roman" w:hAnsi="Times New Roman" w:cs="Times New Roman"/>
          <w:szCs w:val="20"/>
        </w:rPr>
        <w:t xml:space="preserve"> is statistically significant at 1% level. </w:t>
      </w:r>
      <w:r w:rsidRPr="00F73808">
        <w:rPr>
          <w:rFonts w:ascii="Times New Roman" w:hAnsi="Times New Roman" w:cs="Times New Roman" w:hint="eastAsia"/>
          <w:szCs w:val="20"/>
        </w:rPr>
        <w:t>T</w:t>
      </w:r>
      <w:r w:rsidRPr="00F73808">
        <w:rPr>
          <w:rFonts w:ascii="Times New Roman" w:hAnsi="Times New Roman" w:cs="Times New Roman"/>
          <w:szCs w:val="20"/>
        </w:rPr>
        <w:t xml:space="preserve">he </w:t>
      </w:r>
      <w:r w:rsidRPr="00F73808">
        <w:rPr>
          <w:rFonts w:ascii="Times New Roman" w:hAnsi="Times New Roman" w:cs="Times New Roman"/>
          <w:szCs w:val="20"/>
        </w:rPr>
        <w:lastRenderedPageBreak/>
        <w:t xml:space="preserve">coefficient of the ICM Size is 1.09 for the non-crisis period when financial distress risk is measured by KM-score, but jumps to 2.75 for the crisis period. </w:t>
      </w:r>
      <w:r w:rsidRPr="00F73808">
        <w:rPr>
          <w:rFonts w:ascii="Times New Roman" w:hAnsi="Times New Roman" w:cs="Times New Roman" w:hint="eastAsia"/>
          <w:szCs w:val="20"/>
        </w:rPr>
        <w:t>T</w:t>
      </w:r>
      <w:r w:rsidRPr="00F73808">
        <w:rPr>
          <w:rFonts w:ascii="Times New Roman" w:hAnsi="Times New Roman" w:cs="Times New Roman"/>
          <w:szCs w:val="20"/>
        </w:rPr>
        <w:t xml:space="preserve">he difference (1.66) is also statistically significant at 1% level. In sum, the results in Table 7 </w:t>
      </w:r>
      <w:r w:rsidRPr="00F73808">
        <w:rPr>
          <w:rFonts w:ascii="Times New Roman" w:hAnsi="Times New Roman" w:cs="Times New Roman" w:hint="eastAsia"/>
          <w:szCs w:val="20"/>
        </w:rPr>
        <w:t>support</w:t>
      </w:r>
      <w:r w:rsidRPr="00F73808">
        <w:rPr>
          <w:rFonts w:ascii="Times New Roman" w:hAnsi="Times New Roman" w:cs="Times New Roman"/>
          <w:szCs w:val="20"/>
        </w:rPr>
        <w:t xml:space="preserve"> Hypothesis </w:t>
      </w:r>
      <w:r w:rsidRPr="00F73808">
        <w:rPr>
          <w:rFonts w:ascii="Times New Roman" w:hAnsi="Times New Roman" w:cs="Times New Roman" w:hint="eastAsia"/>
          <w:szCs w:val="20"/>
        </w:rPr>
        <w:t>4</w:t>
      </w:r>
      <w:r w:rsidRPr="00F73808">
        <w:rPr>
          <w:rFonts w:ascii="Times New Roman" w:hAnsi="Times New Roman" w:cs="Times New Roman"/>
          <w:szCs w:val="20"/>
        </w:rPr>
        <w:t>: when there is a negative shock in the financial sector and credit is tightened in the external capital market, non-member firms</w:t>
      </w:r>
      <w:r w:rsidRPr="00F73808">
        <w:rPr>
          <w:rFonts w:ascii="Times New Roman" w:hAnsi="Times New Roman" w:cs="Times New Roman" w:hint="eastAsia"/>
          <w:szCs w:val="20"/>
        </w:rPr>
        <w:t xml:space="preserve"> become more financially constrained and</w:t>
      </w:r>
      <w:r w:rsidRPr="00F73808">
        <w:rPr>
          <w:rFonts w:ascii="Times New Roman" w:hAnsi="Times New Roman" w:cs="Times New Roman"/>
          <w:szCs w:val="20"/>
        </w:rPr>
        <w:t xml:space="preserve"> suffer more (in term of financial distress risk) from higher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level.</w:t>
      </w:r>
    </w:p>
    <w:p w:rsidR="00BD72E1" w:rsidRDefault="00BD72E1" w:rsidP="0030091E">
      <w:pPr>
        <w:spacing w:line="480" w:lineRule="auto"/>
        <w:contextualSpacing/>
        <w:rPr>
          <w:rFonts w:ascii="Times New Roman" w:hAnsi="Times New Roman" w:cs="Times New Roman"/>
          <w:sz w:val="26"/>
          <w:szCs w:val="26"/>
        </w:rPr>
      </w:pPr>
    </w:p>
    <w:p w:rsidR="00F73808" w:rsidRPr="0030091E" w:rsidRDefault="00F73808" w:rsidP="0030091E">
      <w:pPr>
        <w:spacing w:line="480" w:lineRule="auto"/>
        <w:contextualSpacing/>
        <w:rPr>
          <w:rFonts w:ascii="Times New Roman" w:hAnsi="Times New Roman" w:cs="Times New Roman"/>
          <w:sz w:val="26"/>
          <w:szCs w:val="26"/>
        </w:rPr>
      </w:pPr>
      <w:r w:rsidRPr="0030091E">
        <w:rPr>
          <w:rFonts w:ascii="Times New Roman" w:hAnsi="Times New Roman" w:cs="Times New Roman"/>
          <w:sz w:val="26"/>
          <w:szCs w:val="26"/>
        </w:rPr>
        <w:t>4</w:t>
      </w:r>
      <w:r w:rsidR="0030091E" w:rsidRPr="0030091E">
        <w:rPr>
          <w:rFonts w:ascii="Times New Roman" w:hAnsi="Times New Roman" w:cs="Times New Roman"/>
          <w:sz w:val="26"/>
          <w:szCs w:val="26"/>
        </w:rPr>
        <w:t>.</w:t>
      </w:r>
      <w:r w:rsidRPr="0030091E">
        <w:rPr>
          <w:rFonts w:ascii="Times New Roman" w:hAnsi="Times New Roman" w:cs="Times New Roman"/>
          <w:sz w:val="26"/>
          <w:szCs w:val="26"/>
        </w:rPr>
        <w:t xml:space="preserve"> Robust</w:t>
      </w:r>
      <w:r w:rsidRPr="0030091E">
        <w:rPr>
          <w:rFonts w:ascii="Times New Roman" w:hAnsi="Times New Roman" w:cs="Times New Roman" w:hint="eastAsia"/>
          <w:sz w:val="26"/>
          <w:szCs w:val="26"/>
        </w:rPr>
        <w:t>ness</w:t>
      </w:r>
      <w:r w:rsidRPr="0030091E">
        <w:rPr>
          <w:rFonts w:ascii="Times New Roman" w:hAnsi="Times New Roman" w:cs="Times New Roman"/>
          <w:sz w:val="26"/>
          <w:szCs w:val="26"/>
        </w:rPr>
        <w:t xml:space="preserve"> test</w:t>
      </w:r>
      <w:r w:rsidRPr="0030091E">
        <w:rPr>
          <w:rFonts w:ascii="Times New Roman" w:hAnsi="Times New Roman" w:cs="Times New Roman" w:hint="eastAsia"/>
          <w:sz w:val="26"/>
          <w:szCs w:val="26"/>
        </w:rPr>
        <w:t>s</w:t>
      </w: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1</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Chang-</w:t>
      </w:r>
      <w:r w:rsidRPr="0030091E">
        <w:rPr>
          <w:rFonts w:ascii="Times New Roman" w:hAnsi="Times New Roman" w:cs="Times New Roman" w:hint="eastAsia"/>
          <w:sz w:val="24"/>
          <w:szCs w:val="24"/>
        </w:rPr>
        <w:t>o</w:t>
      </w:r>
      <w:r w:rsidRPr="0030091E">
        <w:rPr>
          <w:rFonts w:ascii="Times New Roman" w:hAnsi="Times New Roman" w:cs="Times New Roman"/>
          <w:sz w:val="24"/>
          <w:szCs w:val="24"/>
        </w:rPr>
        <w:t>n-Change regression</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In Table </w:t>
      </w:r>
      <w:r w:rsidRPr="00F73808">
        <w:rPr>
          <w:rFonts w:ascii="Times New Roman" w:hAnsi="Times New Roman" w:cs="Times New Roman" w:hint="eastAsia"/>
          <w:szCs w:val="20"/>
        </w:rPr>
        <w:t>8</w:t>
      </w:r>
      <w:r w:rsidRPr="00F73808">
        <w:rPr>
          <w:rFonts w:ascii="Times New Roman" w:hAnsi="Times New Roman" w:cs="Times New Roman"/>
          <w:szCs w:val="20"/>
        </w:rPr>
        <w:t>, we perform a Change</w:t>
      </w:r>
      <w:r w:rsidRPr="00F73808">
        <w:rPr>
          <w:rFonts w:ascii="Times New Roman" w:hAnsi="Times New Roman" w:cs="Times New Roman" w:hint="eastAsia"/>
          <w:szCs w:val="20"/>
        </w:rPr>
        <w:t>-on-</w:t>
      </w:r>
      <w:r w:rsidRPr="00F73808">
        <w:rPr>
          <w:rFonts w:ascii="Times New Roman" w:hAnsi="Times New Roman" w:cs="Times New Roman"/>
          <w:szCs w:val="20"/>
        </w:rPr>
        <w:t>C</w:t>
      </w:r>
      <w:r w:rsidRPr="00F73808">
        <w:rPr>
          <w:rFonts w:ascii="Times New Roman" w:hAnsi="Times New Roman" w:cs="Times New Roman" w:hint="eastAsia"/>
          <w:szCs w:val="20"/>
        </w:rPr>
        <w:t>hange</w:t>
      </w:r>
      <w:r w:rsidRPr="00F73808">
        <w:rPr>
          <w:rFonts w:ascii="Times New Roman" w:hAnsi="Times New Roman" w:cs="Times New Roman"/>
          <w:szCs w:val="20"/>
        </w:rPr>
        <w:t xml:space="preserve"> regression for non-member firms to further control for omitted firm-level variables that are constant over time. More specifically, we obtain first difference for all variables (</w:t>
      </w:r>
      <w:r w:rsidRPr="00F73808">
        <w:rPr>
          <w:rFonts w:ascii="Times New Roman" w:hAnsi="Times New Roman" w:cs="Times New Roman" w:hint="eastAsia"/>
          <w:szCs w:val="20"/>
        </w:rPr>
        <w:t xml:space="preserve">both </w:t>
      </w:r>
      <w:r w:rsidRPr="00F73808">
        <w:rPr>
          <w:rFonts w:ascii="Times New Roman" w:hAnsi="Times New Roman" w:cs="Times New Roman"/>
          <w:szCs w:val="20"/>
        </w:rPr>
        <w:t>dependent and independent) in equation</w:t>
      </w:r>
      <w:r w:rsidRPr="00F73808">
        <w:rPr>
          <w:rFonts w:ascii="Times New Roman" w:hAnsi="Times New Roman" w:cs="Times New Roman" w:hint="eastAsia"/>
          <w:szCs w:val="20"/>
        </w:rPr>
        <w:t>s</w:t>
      </w:r>
      <w:r w:rsidRPr="00F73808">
        <w:rPr>
          <w:rFonts w:ascii="Times New Roman" w:hAnsi="Times New Roman" w:cs="Times New Roman"/>
          <w:szCs w:val="20"/>
        </w:rPr>
        <w:t xml:space="preserve"> (4) and (5), and run the OLS regression without including </w:t>
      </w:r>
      <w:r w:rsidRPr="00F73808">
        <w:rPr>
          <w:rFonts w:ascii="Times New Roman" w:hAnsi="Times New Roman" w:cs="Times New Roman" w:hint="eastAsia"/>
          <w:szCs w:val="20"/>
        </w:rPr>
        <w:t xml:space="preserve">a </w:t>
      </w:r>
      <w:r w:rsidRPr="00F73808">
        <w:rPr>
          <w:rFonts w:ascii="Times New Roman" w:hAnsi="Times New Roman" w:cs="Times New Roman"/>
          <w:szCs w:val="20"/>
        </w:rPr>
        <w:t xml:space="preserve">firm fixed effect. The results in Table </w:t>
      </w:r>
      <w:r w:rsidRPr="00F73808">
        <w:rPr>
          <w:rFonts w:ascii="Times New Roman" w:hAnsi="Times New Roman" w:cs="Times New Roman" w:hint="eastAsia"/>
          <w:szCs w:val="20"/>
        </w:rPr>
        <w:t>8</w:t>
      </w:r>
      <w:r w:rsidRPr="00F73808">
        <w:rPr>
          <w:rFonts w:ascii="Times New Roman" w:hAnsi="Times New Roman" w:cs="Times New Roman"/>
          <w:szCs w:val="20"/>
        </w:rPr>
        <w:t xml:space="preserve"> show that the coefficients of change in the BSDI, BG MKT Share, and ICM Size are still highly significant</w:t>
      </w:r>
      <w:r w:rsidRPr="00F73808">
        <w:rPr>
          <w:rFonts w:ascii="Times New Roman" w:hAnsi="Times New Roman" w:cs="Times New Roman" w:hint="eastAsia"/>
          <w:szCs w:val="20"/>
        </w:rPr>
        <w:t xml:space="preserve"> with expected signs</w:t>
      </w:r>
      <w:r w:rsidRPr="00F73808">
        <w:rPr>
          <w:rFonts w:ascii="Times New Roman" w:hAnsi="Times New Roman" w:cs="Times New Roman"/>
          <w:szCs w:val="20"/>
        </w:rPr>
        <w:t xml:space="preserve">, suggesting that increase in non-member firms’ financial distress risk </w:t>
      </w:r>
      <w:r w:rsidRPr="00F73808">
        <w:rPr>
          <w:rFonts w:ascii="Times New Roman" w:hAnsi="Times New Roman" w:cs="Times New Roman" w:hint="eastAsia"/>
          <w:szCs w:val="20"/>
        </w:rPr>
        <w:t xml:space="preserve">is </w:t>
      </w:r>
      <w:r w:rsidRPr="00F73808">
        <w:rPr>
          <w:rFonts w:ascii="Times New Roman" w:hAnsi="Times New Roman" w:cs="Times New Roman"/>
          <w:szCs w:val="20"/>
        </w:rPr>
        <w:t>positively</w:t>
      </w:r>
      <w:r w:rsidRPr="00F73808">
        <w:rPr>
          <w:rFonts w:ascii="Times New Roman" w:hAnsi="Times New Roman" w:cs="Times New Roman" w:hint="eastAsia"/>
          <w:szCs w:val="20"/>
        </w:rPr>
        <w:t xml:space="preserve"> associated with</w:t>
      </w:r>
      <w:r w:rsidRPr="00F73808">
        <w:rPr>
          <w:rFonts w:ascii="Times New Roman" w:hAnsi="Times New Roman" w:cs="Times New Roman"/>
          <w:szCs w:val="20"/>
        </w:rPr>
        <w:t xml:space="preserve"> increase in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Therefore, it is not likely</w:t>
      </w:r>
      <w:r w:rsidRPr="00F73808">
        <w:rPr>
          <w:rFonts w:ascii="Times New Roman" w:hAnsi="Times New Roman" w:cs="Times New Roman" w:hint="eastAsia"/>
          <w:szCs w:val="20"/>
        </w:rPr>
        <w:t xml:space="preserve"> that</w:t>
      </w:r>
      <w:r w:rsidRPr="00F73808">
        <w:rPr>
          <w:rFonts w:ascii="Times New Roman" w:hAnsi="Times New Roman" w:cs="Times New Roman"/>
          <w:szCs w:val="20"/>
        </w:rPr>
        <w:t xml:space="preserve"> our main results in Table 3 are driven by omitted variable biases.</w:t>
      </w:r>
    </w:p>
    <w:p w:rsid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 xml:space="preserve">[Insert Table </w:t>
      </w:r>
      <w:r w:rsidRPr="00F73808">
        <w:rPr>
          <w:rFonts w:ascii="Times New Roman" w:hAnsi="Times New Roman" w:cs="Times New Roman" w:hint="eastAsia"/>
          <w:szCs w:val="20"/>
        </w:rPr>
        <w:t>8</w:t>
      </w:r>
      <w:r w:rsidRPr="00F73808">
        <w:rPr>
          <w:rFonts w:ascii="Times New Roman" w:hAnsi="Times New Roman" w:cs="Times New Roman"/>
          <w:szCs w:val="20"/>
        </w:rPr>
        <w:t xml:space="preserve"> about here]</w:t>
      </w:r>
    </w:p>
    <w:p w:rsidR="00BD72E1" w:rsidRPr="00F73808" w:rsidRDefault="00BD72E1" w:rsidP="0030091E">
      <w:pPr>
        <w:spacing w:line="480" w:lineRule="auto"/>
        <w:contextualSpacing/>
        <w:jc w:val="center"/>
        <w:rPr>
          <w:rFonts w:ascii="Times New Roman" w:hAnsi="Times New Roman" w:cs="Times New Roman"/>
          <w:szCs w:val="20"/>
        </w:rPr>
      </w:pP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sz w:val="24"/>
          <w:szCs w:val="24"/>
        </w:rPr>
        <w:t>2</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Business group’</w:t>
      </w:r>
      <w:r w:rsidRPr="0030091E">
        <w:rPr>
          <w:rFonts w:ascii="Times New Roman" w:hAnsi="Times New Roman" w:cs="Times New Roman" w:hint="eastAsia"/>
          <w:sz w:val="24"/>
          <w:szCs w:val="24"/>
        </w:rPr>
        <w:t xml:space="preserve">s influence </w:t>
      </w:r>
      <w:r w:rsidRPr="0030091E">
        <w:rPr>
          <w:rFonts w:ascii="Times New Roman" w:hAnsi="Times New Roman" w:cs="Times New Roman"/>
          <w:sz w:val="24"/>
          <w:szCs w:val="24"/>
        </w:rPr>
        <w:t>on public non-member firms’ credit rating</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In Table 9</w:t>
      </w:r>
      <w:r w:rsidRPr="00F73808">
        <w:rPr>
          <w:rFonts w:ascii="Times New Roman" w:hAnsi="Times New Roman" w:cs="Times New Roman"/>
          <w:szCs w:val="20"/>
        </w:rPr>
        <w:t xml:space="preserve">, we use credit rating score of public non-member firms as an alternative measure of financial distress risk and examine the </w:t>
      </w:r>
      <w:r w:rsidRPr="00F73808">
        <w:rPr>
          <w:rFonts w:ascii="Times New Roman" w:hAnsi="Times New Roman" w:cs="Times New Roman" w:hint="eastAsia"/>
          <w:szCs w:val="20"/>
        </w:rPr>
        <w:t>effect</w:t>
      </w:r>
      <w:r w:rsidRPr="00F73808">
        <w:rPr>
          <w:rFonts w:ascii="Times New Roman" w:hAnsi="Times New Roman" w:cs="Times New Roman"/>
          <w:szCs w:val="20"/>
        </w:rPr>
        <w:t xml:space="preserve"> of business group on it. Since credit rating score is a categorical variable rang</w:t>
      </w:r>
      <w:r w:rsidRPr="00F73808">
        <w:rPr>
          <w:rFonts w:ascii="Times New Roman" w:hAnsi="Times New Roman" w:cs="Times New Roman" w:hint="eastAsia"/>
          <w:szCs w:val="20"/>
        </w:rPr>
        <w:t>ing</w:t>
      </w:r>
      <w:r w:rsidRPr="00F73808">
        <w:rPr>
          <w:rFonts w:ascii="Times New Roman" w:hAnsi="Times New Roman" w:cs="Times New Roman"/>
          <w:szCs w:val="20"/>
        </w:rPr>
        <w:t xml:space="preserve"> from 1 to 10</w:t>
      </w:r>
      <w:r w:rsidRPr="00F73808">
        <w:rPr>
          <w:rFonts w:ascii="Times New Roman" w:hAnsi="Times New Roman" w:cs="Times New Roman" w:hint="eastAsia"/>
          <w:szCs w:val="20"/>
        </w:rPr>
        <w:t xml:space="preserve"> with 10 being the highest default risk</w:t>
      </w:r>
      <w:r w:rsidRPr="00F73808">
        <w:rPr>
          <w:rFonts w:ascii="Times New Roman" w:hAnsi="Times New Roman" w:cs="Times New Roman"/>
          <w:szCs w:val="20"/>
        </w:rPr>
        <w:t xml:space="preserve">, in addition to the OLS regression results </w:t>
      </w:r>
      <w:r w:rsidRPr="00F73808">
        <w:rPr>
          <w:rFonts w:ascii="Times New Roman" w:hAnsi="Times New Roman" w:cs="Times New Roman" w:hint="eastAsia"/>
          <w:szCs w:val="20"/>
        </w:rPr>
        <w:t xml:space="preserve">with </w:t>
      </w:r>
      <w:r w:rsidRPr="00F73808">
        <w:rPr>
          <w:rFonts w:ascii="Times New Roman" w:hAnsi="Times New Roman" w:cs="Times New Roman"/>
          <w:szCs w:val="20"/>
        </w:rPr>
        <w:t xml:space="preserve">both firm fixed effect and industry fixed effect, we also report the results based on ordered logit regression. </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szCs w:val="20"/>
        </w:rPr>
        <w:t xml:space="preserve">Three observations emerge from Table </w:t>
      </w:r>
      <w:r w:rsidRPr="00F73808">
        <w:rPr>
          <w:rFonts w:ascii="Times New Roman" w:hAnsi="Times New Roman" w:cs="Times New Roman" w:hint="eastAsia"/>
          <w:szCs w:val="20"/>
        </w:rPr>
        <w:t>9</w:t>
      </w:r>
      <w:r w:rsidRPr="00F73808">
        <w:rPr>
          <w:rFonts w:ascii="Times New Roman" w:hAnsi="Times New Roman" w:cs="Times New Roman"/>
          <w:szCs w:val="20"/>
        </w:rPr>
        <w:t>. First, the coefficient of BSDI is positive and statistically significant</w:t>
      </w:r>
      <w:r w:rsidRPr="00F73808">
        <w:rPr>
          <w:rFonts w:ascii="Times New Roman" w:hAnsi="Times New Roman" w:cs="Times New Roman" w:hint="eastAsia"/>
          <w:szCs w:val="20"/>
        </w:rPr>
        <w:t xml:space="preserve"> at 1</w:t>
      </w:r>
      <w:r w:rsidR="007852F2">
        <w:rPr>
          <w:rFonts w:ascii="Times New Roman" w:hAnsi="Times New Roman" w:cs="Times New Roman"/>
          <w:szCs w:val="20"/>
        </w:rPr>
        <w:t>0</w:t>
      </w:r>
      <w:r w:rsidRPr="00F73808">
        <w:rPr>
          <w:rFonts w:ascii="Times New Roman" w:hAnsi="Times New Roman" w:cs="Times New Roman" w:hint="eastAsia"/>
          <w:szCs w:val="20"/>
        </w:rPr>
        <w:t>% level</w:t>
      </w:r>
      <w:r w:rsidRPr="00F73808">
        <w:rPr>
          <w:rFonts w:ascii="Times New Roman" w:hAnsi="Times New Roman" w:cs="Times New Roman"/>
          <w:szCs w:val="20"/>
        </w:rPr>
        <w:t xml:space="preserve">, suggesting </w:t>
      </w:r>
      <w:r w:rsidRPr="00F73808">
        <w:rPr>
          <w:rFonts w:ascii="Times New Roman" w:hAnsi="Times New Roman" w:cs="Times New Roman" w:hint="eastAsia"/>
          <w:szCs w:val="20"/>
        </w:rPr>
        <w:t xml:space="preserve">that </w:t>
      </w:r>
      <w:r w:rsidRPr="00F73808">
        <w:rPr>
          <w:rFonts w:ascii="Times New Roman" w:hAnsi="Times New Roman" w:cs="Times New Roman"/>
          <w:szCs w:val="20"/>
        </w:rPr>
        <w:t xml:space="preserve">the general business group </w:t>
      </w:r>
      <w:r w:rsidRPr="00F73808">
        <w:rPr>
          <w:rFonts w:ascii="Times New Roman" w:hAnsi="Times New Roman" w:cs="Times New Roman" w:hint="eastAsia"/>
          <w:szCs w:val="20"/>
        </w:rPr>
        <w:t>influence</w:t>
      </w:r>
      <w:r w:rsidRPr="00F73808">
        <w:rPr>
          <w:rFonts w:ascii="Times New Roman" w:hAnsi="Times New Roman" w:cs="Times New Roman"/>
          <w:szCs w:val="20"/>
        </w:rPr>
        <w:t xml:space="preserve"> in </w:t>
      </w:r>
      <w:r w:rsidRPr="00F73808">
        <w:rPr>
          <w:rFonts w:ascii="Times New Roman" w:hAnsi="Times New Roman" w:cs="Times New Roman" w:hint="eastAsia"/>
          <w:szCs w:val="20"/>
        </w:rPr>
        <w:t>an</w:t>
      </w:r>
      <w:r w:rsidRPr="00F73808">
        <w:rPr>
          <w:rFonts w:ascii="Times New Roman" w:hAnsi="Times New Roman" w:cs="Times New Roman"/>
          <w:szCs w:val="20"/>
        </w:rPr>
        <w:t xml:space="preserve"> industry </w:t>
      </w:r>
      <w:r w:rsidRPr="00F73808">
        <w:rPr>
          <w:rFonts w:ascii="Times New Roman" w:hAnsi="Times New Roman" w:cs="Times New Roman" w:hint="eastAsia"/>
          <w:szCs w:val="20"/>
        </w:rPr>
        <w:t>decreases</w:t>
      </w:r>
      <w:r w:rsidRPr="00F73808">
        <w:rPr>
          <w:rFonts w:ascii="Times New Roman" w:hAnsi="Times New Roman" w:cs="Times New Roman"/>
          <w:szCs w:val="20"/>
        </w:rPr>
        <w:t xml:space="preserve"> public non-member firms’ credit rating</w:t>
      </w:r>
      <w:r w:rsidRPr="00F73808">
        <w:rPr>
          <w:rFonts w:ascii="Times New Roman" w:hAnsi="Times New Roman" w:cs="Times New Roman" w:hint="eastAsia"/>
          <w:szCs w:val="20"/>
        </w:rPr>
        <w:t xml:space="preserve"> or equivalently, increases</w:t>
      </w:r>
      <w:r w:rsidRPr="00F73808">
        <w:rPr>
          <w:rFonts w:ascii="Times New Roman" w:hAnsi="Times New Roman" w:cs="Times New Roman"/>
          <w:szCs w:val="20"/>
        </w:rPr>
        <w:t xml:space="preserve"> their</w:t>
      </w:r>
      <w:r w:rsidRPr="00F73808">
        <w:rPr>
          <w:rFonts w:ascii="Times New Roman" w:hAnsi="Times New Roman" w:cs="Times New Roman" w:hint="eastAsia"/>
          <w:szCs w:val="20"/>
        </w:rPr>
        <w:t xml:space="preserve"> credit rating score</w:t>
      </w:r>
      <w:r w:rsidRPr="00F73808">
        <w:rPr>
          <w:rFonts w:ascii="Times New Roman" w:hAnsi="Times New Roman" w:cs="Times New Roman"/>
          <w:szCs w:val="20"/>
        </w:rPr>
        <w:t xml:space="preserve">. Second, the coefficient of BG MKT Share is insignificant in all specifications, which is </w:t>
      </w:r>
      <w:r w:rsidRPr="00F73808">
        <w:rPr>
          <w:rFonts w:ascii="Times New Roman" w:hAnsi="Times New Roman" w:cs="Times New Roman" w:hint="eastAsia"/>
          <w:szCs w:val="20"/>
        </w:rPr>
        <w:t>quite</w:t>
      </w:r>
      <w:r w:rsidRPr="00F73808">
        <w:rPr>
          <w:rFonts w:ascii="Times New Roman" w:hAnsi="Times New Roman" w:cs="Times New Roman"/>
          <w:szCs w:val="20"/>
        </w:rPr>
        <w:t xml:space="preserve"> different from the results in Table 3. One possible explanation for this observation is that compared to private non-members </w:t>
      </w:r>
      <w:r w:rsidRPr="00F73808">
        <w:rPr>
          <w:rFonts w:ascii="Times New Roman" w:hAnsi="Times New Roman" w:cs="Times New Roman" w:hint="eastAsia"/>
          <w:szCs w:val="20"/>
        </w:rPr>
        <w:t>that</w:t>
      </w:r>
      <w:r w:rsidRPr="00F73808">
        <w:rPr>
          <w:rFonts w:ascii="Times New Roman" w:hAnsi="Times New Roman" w:cs="Times New Roman"/>
          <w:szCs w:val="20"/>
        </w:rPr>
        <w:t xml:space="preserve"> are the vast majority of our main sample based on which Table 3 is constructed</w:t>
      </w:r>
      <w:r w:rsidRPr="00F73808">
        <w:rPr>
          <w:rFonts w:ascii="Times New Roman" w:hAnsi="Times New Roman" w:cs="Times New Roman" w:hint="eastAsia"/>
          <w:szCs w:val="20"/>
        </w:rPr>
        <w:t>,</w:t>
      </w:r>
      <w:r w:rsidRPr="00F73808">
        <w:rPr>
          <w:rFonts w:ascii="Times New Roman" w:hAnsi="Times New Roman" w:cs="Times New Roman"/>
          <w:szCs w:val="20"/>
        </w:rPr>
        <w:t xml:space="preserve"> public non-member firms have stronger </w:t>
      </w:r>
      <w:r w:rsidRPr="00F73808">
        <w:rPr>
          <w:rFonts w:ascii="Times New Roman" w:hAnsi="Times New Roman" w:cs="Times New Roman" w:hint="eastAsia"/>
          <w:szCs w:val="20"/>
        </w:rPr>
        <w:t>market power</w:t>
      </w:r>
      <w:r w:rsidRPr="00F73808">
        <w:rPr>
          <w:rFonts w:ascii="Times New Roman" w:hAnsi="Times New Roman" w:cs="Times New Roman"/>
          <w:szCs w:val="20"/>
        </w:rPr>
        <w:t xml:space="preserve"> </w:t>
      </w:r>
      <w:r w:rsidRPr="00F73808">
        <w:rPr>
          <w:rFonts w:ascii="Times New Roman" w:hAnsi="Times New Roman" w:cs="Times New Roman" w:hint="eastAsia"/>
          <w:szCs w:val="20"/>
        </w:rPr>
        <w:t xml:space="preserve">such as larger </w:t>
      </w:r>
      <w:r w:rsidRPr="00F73808">
        <w:rPr>
          <w:rFonts w:ascii="Times New Roman" w:hAnsi="Times New Roman" w:cs="Times New Roman" w:hint="eastAsia"/>
          <w:szCs w:val="20"/>
        </w:rPr>
        <w:lastRenderedPageBreak/>
        <w:t xml:space="preserve">market share, </w:t>
      </w:r>
      <w:r w:rsidRPr="00F73808">
        <w:rPr>
          <w:rFonts w:ascii="Times New Roman" w:hAnsi="Times New Roman" w:cs="Times New Roman"/>
          <w:szCs w:val="20"/>
        </w:rPr>
        <w:t xml:space="preserve">and </w:t>
      </w:r>
      <w:r w:rsidRPr="00F73808">
        <w:rPr>
          <w:rFonts w:ascii="Times New Roman" w:hAnsi="Times New Roman" w:cs="Times New Roman" w:hint="eastAsia"/>
          <w:szCs w:val="20"/>
        </w:rPr>
        <w:t xml:space="preserve">thus they </w:t>
      </w:r>
      <w:r w:rsidRPr="00F73808">
        <w:rPr>
          <w:rFonts w:ascii="Times New Roman" w:hAnsi="Times New Roman" w:cs="Times New Roman"/>
          <w:szCs w:val="20"/>
        </w:rPr>
        <w:t>are less subject to the competitive risk caused by high market share of member firms. Third and most importantly, the coefficient of ICM Size is positive and statistically significant</w:t>
      </w:r>
      <w:r w:rsidRPr="00F73808">
        <w:rPr>
          <w:rFonts w:ascii="Times New Roman" w:hAnsi="Times New Roman" w:cs="Times New Roman" w:hint="eastAsia"/>
          <w:szCs w:val="20"/>
        </w:rPr>
        <w:t xml:space="preserve"> in all specifications</w:t>
      </w:r>
      <w:r w:rsidRPr="00F73808">
        <w:rPr>
          <w:rFonts w:ascii="Times New Roman" w:hAnsi="Times New Roman" w:cs="Times New Roman"/>
          <w:szCs w:val="20"/>
        </w:rPr>
        <w:t xml:space="preserve">. The results </w:t>
      </w:r>
      <w:r w:rsidRPr="00F73808">
        <w:rPr>
          <w:rFonts w:ascii="Times New Roman" w:hAnsi="Times New Roman" w:cs="Times New Roman" w:hint="eastAsia"/>
          <w:szCs w:val="20"/>
        </w:rPr>
        <w:t xml:space="preserve">provide strong supporting evidence for the argument that </w:t>
      </w:r>
      <w:r w:rsidRPr="00F73808">
        <w:rPr>
          <w:rFonts w:ascii="Times New Roman" w:hAnsi="Times New Roman" w:cs="Times New Roman"/>
          <w:szCs w:val="20"/>
        </w:rPr>
        <w:t xml:space="preserve">even for pubic non-member </w:t>
      </w:r>
      <w:proofErr w:type="gramStart"/>
      <w:r w:rsidRPr="00F73808">
        <w:rPr>
          <w:rFonts w:ascii="Times New Roman" w:hAnsi="Times New Roman" w:cs="Times New Roman"/>
          <w:szCs w:val="20"/>
        </w:rPr>
        <w:t>firms,</w:t>
      </w:r>
      <w:proofErr w:type="gramEnd"/>
      <w:r w:rsidRPr="00F73808">
        <w:rPr>
          <w:rFonts w:ascii="Times New Roman" w:hAnsi="Times New Roman" w:cs="Times New Roman"/>
          <w:szCs w:val="20"/>
        </w:rPr>
        <w:t xml:space="preserve"> the existence of the internal capital market captured by ICM Size </w:t>
      </w:r>
      <w:r w:rsidRPr="00F73808">
        <w:rPr>
          <w:rFonts w:ascii="Times New Roman" w:hAnsi="Times New Roman" w:cs="Times New Roman" w:hint="eastAsia"/>
          <w:szCs w:val="20"/>
        </w:rPr>
        <w:t>can</w:t>
      </w:r>
      <w:r w:rsidRPr="00F73808">
        <w:rPr>
          <w:rFonts w:ascii="Times New Roman" w:hAnsi="Times New Roman" w:cs="Times New Roman"/>
          <w:szCs w:val="20"/>
        </w:rPr>
        <w:t xml:space="preserve"> increase their financial distress risk as measured by credit rating. </w:t>
      </w:r>
    </w:p>
    <w:p w:rsid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 xml:space="preserve">[Insert Table </w:t>
      </w:r>
      <w:r w:rsidRPr="00F73808">
        <w:rPr>
          <w:rFonts w:ascii="Times New Roman" w:hAnsi="Times New Roman" w:cs="Times New Roman" w:hint="eastAsia"/>
          <w:szCs w:val="20"/>
        </w:rPr>
        <w:t>9</w:t>
      </w:r>
      <w:r w:rsidRPr="00F73808">
        <w:rPr>
          <w:rFonts w:ascii="Times New Roman" w:hAnsi="Times New Roman" w:cs="Times New Roman"/>
          <w:szCs w:val="20"/>
        </w:rPr>
        <w:t xml:space="preserve"> about here]</w:t>
      </w:r>
    </w:p>
    <w:p w:rsidR="00537236" w:rsidRPr="00F73808" w:rsidRDefault="00537236" w:rsidP="0030091E">
      <w:pPr>
        <w:spacing w:line="480" w:lineRule="auto"/>
        <w:contextualSpacing/>
        <w:jc w:val="center"/>
        <w:rPr>
          <w:rFonts w:ascii="Times New Roman" w:hAnsi="Times New Roman" w:cs="Times New Roman"/>
          <w:szCs w:val="20"/>
        </w:rPr>
      </w:pPr>
    </w:p>
    <w:p w:rsidR="00F73808" w:rsidRPr="0030091E" w:rsidRDefault="00F73808" w:rsidP="0030091E">
      <w:pPr>
        <w:spacing w:line="480" w:lineRule="auto"/>
        <w:contextualSpacing/>
        <w:rPr>
          <w:rFonts w:ascii="Times New Roman" w:hAnsi="Times New Roman" w:cs="Times New Roman"/>
          <w:sz w:val="24"/>
          <w:szCs w:val="24"/>
        </w:rPr>
      </w:pPr>
      <w:r w:rsidRPr="0030091E">
        <w:rPr>
          <w:rFonts w:ascii="Times New Roman" w:hAnsi="Times New Roman" w:cs="Times New Roman" w:hint="eastAsia"/>
          <w:sz w:val="24"/>
          <w:szCs w:val="24"/>
        </w:rPr>
        <w:t>3</w:t>
      </w:r>
      <w:r w:rsidR="0030091E" w:rsidRPr="0030091E">
        <w:rPr>
          <w:rFonts w:ascii="Times New Roman" w:hAnsi="Times New Roman" w:cs="Times New Roman"/>
          <w:sz w:val="24"/>
          <w:szCs w:val="24"/>
        </w:rPr>
        <w:t>)</w:t>
      </w:r>
      <w:r w:rsidRPr="0030091E">
        <w:rPr>
          <w:rFonts w:ascii="Times New Roman" w:hAnsi="Times New Roman" w:cs="Times New Roman"/>
          <w:sz w:val="24"/>
          <w:szCs w:val="24"/>
        </w:rPr>
        <w:t xml:space="preserve"> Business group’</w:t>
      </w:r>
      <w:r w:rsidRPr="0030091E">
        <w:rPr>
          <w:rFonts w:ascii="Times New Roman" w:hAnsi="Times New Roman" w:cs="Times New Roman" w:hint="eastAsia"/>
          <w:sz w:val="24"/>
          <w:szCs w:val="24"/>
        </w:rPr>
        <w:t xml:space="preserve">s influence </w:t>
      </w:r>
      <w:r w:rsidRPr="0030091E">
        <w:rPr>
          <w:rFonts w:ascii="Times New Roman" w:hAnsi="Times New Roman" w:cs="Times New Roman"/>
          <w:sz w:val="24"/>
          <w:szCs w:val="24"/>
        </w:rPr>
        <w:t xml:space="preserve">on </w:t>
      </w:r>
      <w:r w:rsidRPr="0030091E">
        <w:rPr>
          <w:rFonts w:ascii="Times New Roman" w:hAnsi="Times New Roman" w:cs="Times New Roman" w:hint="eastAsia"/>
          <w:sz w:val="24"/>
          <w:szCs w:val="24"/>
        </w:rPr>
        <w:t>non-member firms</w:t>
      </w:r>
      <w:r w:rsidRPr="0030091E">
        <w:rPr>
          <w:rFonts w:ascii="Times New Roman" w:hAnsi="Times New Roman" w:cs="Times New Roman"/>
          <w:sz w:val="24"/>
          <w:szCs w:val="24"/>
        </w:rPr>
        <w:t>’</w:t>
      </w:r>
      <w:r w:rsidRPr="0030091E">
        <w:rPr>
          <w:rFonts w:ascii="Times New Roman" w:hAnsi="Times New Roman" w:cs="Times New Roman" w:hint="eastAsia"/>
          <w:sz w:val="24"/>
          <w:szCs w:val="24"/>
        </w:rPr>
        <w:t xml:space="preserve"> financial distress risk: a matching sample analysis</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Lastly, in order</w:t>
      </w:r>
      <w:r w:rsidRPr="00F73808">
        <w:rPr>
          <w:rFonts w:ascii="Times New Roman" w:hAnsi="Times New Roman" w:cs="Times New Roman"/>
          <w:szCs w:val="20"/>
        </w:rPr>
        <w:t xml:space="preserve"> to</w:t>
      </w:r>
      <w:r w:rsidRPr="00F73808">
        <w:rPr>
          <w:rFonts w:ascii="Times New Roman" w:hAnsi="Times New Roman" w:cs="Times New Roman" w:hint="eastAsia"/>
          <w:szCs w:val="20"/>
        </w:rPr>
        <w:t xml:space="preserve"> further examine whether business group</w:t>
      </w:r>
      <w:r w:rsidRPr="00F73808">
        <w:rPr>
          <w:rFonts w:ascii="Times New Roman" w:hAnsi="Times New Roman" w:cs="Times New Roman"/>
          <w:szCs w:val="20"/>
        </w:rPr>
        <w:t>’</w:t>
      </w:r>
      <w:r w:rsidRPr="00F73808">
        <w:rPr>
          <w:rFonts w:ascii="Times New Roman" w:hAnsi="Times New Roman" w:cs="Times New Roman" w:hint="eastAsia"/>
          <w:szCs w:val="20"/>
        </w:rPr>
        <w:t>s influence on non-member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financial distress risk stem</w:t>
      </w:r>
      <w:r w:rsidRPr="00F73808">
        <w:rPr>
          <w:rFonts w:ascii="Times New Roman" w:hAnsi="Times New Roman" w:cs="Times New Roman"/>
          <w:szCs w:val="20"/>
        </w:rPr>
        <w:t>s</w:t>
      </w:r>
      <w:r w:rsidRPr="00F73808">
        <w:rPr>
          <w:rFonts w:ascii="Times New Roman" w:hAnsi="Times New Roman" w:cs="Times New Roman" w:hint="eastAsia"/>
          <w:szCs w:val="20"/>
        </w:rPr>
        <w:t xml:space="preserve"> from the existence of internal capital market among member firms, we perform a matching sample analysis to isolate the effect of internal capital market. More </w:t>
      </w:r>
      <w:r w:rsidRPr="00F73808">
        <w:rPr>
          <w:rFonts w:ascii="Times New Roman" w:hAnsi="Times New Roman" w:cs="Times New Roman"/>
          <w:szCs w:val="20"/>
        </w:rPr>
        <w:t>specifically</w:t>
      </w:r>
      <w:r w:rsidRPr="00F73808">
        <w:rPr>
          <w:rFonts w:ascii="Times New Roman" w:hAnsi="Times New Roman" w:cs="Times New Roman" w:hint="eastAsia"/>
          <w:szCs w:val="20"/>
        </w:rPr>
        <w:t xml:space="preserve">, we first identify all industry year observations for which there is only one member firm within </w:t>
      </w:r>
      <w:r w:rsidRPr="00F73808">
        <w:rPr>
          <w:rFonts w:ascii="Times New Roman" w:hAnsi="Times New Roman" w:cs="Times New Roman"/>
          <w:szCs w:val="20"/>
        </w:rPr>
        <w:t>each</w:t>
      </w:r>
      <w:r w:rsidRPr="00F73808">
        <w:rPr>
          <w:rFonts w:ascii="Times New Roman" w:hAnsi="Times New Roman" w:cs="Times New Roman" w:hint="eastAsia"/>
          <w:szCs w:val="20"/>
        </w:rPr>
        <w:t xml:space="preserve"> industry. Therefore, the potential market share effect of member firm on non-member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financial distress, if any, comes solely from the single member firm in each industry. To obtain a meaningful sample size, we use 6-digit K-SIC code to construct the single</w:t>
      </w:r>
      <w:r w:rsidRPr="00F73808">
        <w:rPr>
          <w:rFonts w:ascii="Times New Roman" w:hAnsi="Times New Roman" w:cs="Times New Roman"/>
          <w:szCs w:val="20"/>
        </w:rPr>
        <w:t>-</w:t>
      </w:r>
      <w:r w:rsidRPr="00F73808">
        <w:rPr>
          <w:rFonts w:ascii="Times New Roman" w:hAnsi="Times New Roman" w:cs="Times New Roman" w:hint="eastAsia"/>
          <w:szCs w:val="20"/>
        </w:rPr>
        <w:t>member firm subsample. Then for each memb</w:t>
      </w:r>
      <w:r w:rsidR="007852F2">
        <w:rPr>
          <w:rFonts w:ascii="Times New Roman" w:hAnsi="Times New Roman" w:cs="Times New Roman" w:hint="eastAsia"/>
          <w:szCs w:val="20"/>
        </w:rPr>
        <w:t xml:space="preserve">er firm observation, </w:t>
      </w:r>
      <w:r w:rsidRPr="00F73808">
        <w:rPr>
          <w:rFonts w:ascii="Times New Roman" w:hAnsi="Times New Roman" w:cs="Times New Roman" w:hint="eastAsia"/>
          <w:szCs w:val="20"/>
        </w:rPr>
        <w:t>one to three non-member firms with similar market share, exact</w:t>
      </w:r>
      <w:r w:rsidRPr="00F73808">
        <w:rPr>
          <w:rFonts w:ascii="Times New Roman" w:hAnsi="Times New Roman" w:cs="Times New Roman"/>
          <w:szCs w:val="20"/>
        </w:rPr>
        <w:t>ly</w:t>
      </w:r>
      <w:r w:rsidRPr="00F73808">
        <w:rPr>
          <w:rFonts w:ascii="Times New Roman" w:hAnsi="Times New Roman" w:cs="Times New Roman" w:hint="eastAsia"/>
          <w:szCs w:val="20"/>
        </w:rPr>
        <w:t xml:space="preserve"> the same industry and firm year are identified as its matching firms. Finally, based on the matched sample of non-member fir</w:t>
      </w:r>
      <w:r w:rsidRPr="00F73808">
        <w:rPr>
          <w:rFonts w:ascii="Times New Roman" w:hAnsi="Times New Roman" w:cs="Times New Roman"/>
          <w:szCs w:val="20"/>
        </w:rPr>
        <w:t>m</w:t>
      </w:r>
      <w:r w:rsidRPr="00F73808">
        <w:rPr>
          <w:rFonts w:ascii="Times New Roman" w:hAnsi="Times New Roman" w:cs="Times New Roman" w:hint="eastAsia"/>
          <w:szCs w:val="20"/>
        </w:rPr>
        <w:t xml:space="preserve">s, we perform the same firm level regression as in Table 3, but with two exceptions. First, instead of using the BSDI and its two components as </w:t>
      </w:r>
      <w:r w:rsidRPr="00F73808">
        <w:rPr>
          <w:rFonts w:ascii="Times New Roman" w:hAnsi="Times New Roman" w:cs="Times New Roman"/>
          <w:szCs w:val="20"/>
        </w:rPr>
        <w:t>measures</w:t>
      </w:r>
      <w:r w:rsidRPr="00F73808">
        <w:rPr>
          <w:rFonts w:ascii="Times New Roman" w:hAnsi="Times New Roman" w:cs="Times New Roman" w:hint="eastAsia"/>
          <w:szCs w:val="20"/>
        </w:rPr>
        <w:t xml:space="preserve"> of business group</w:t>
      </w:r>
      <w:r w:rsidRPr="00F73808">
        <w:rPr>
          <w:rFonts w:ascii="Times New Roman" w:hAnsi="Times New Roman" w:cs="Times New Roman"/>
          <w:szCs w:val="20"/>
        </w:rPr>
        <w:t>’</w:t>
      </w:r>
      <w:r w:rsidRPr="00F73808">
        <w:rPr>
          <w:rFonts w:ascii="Times New Roman" w:hAnsi="Times New Roman" w:cs="Times New Roman" w:hint="eastAsia"/>
          <w:szCs w:val="20"/>
        </w:rPr>
        <w:t>s influence, we use the relative size of member firm</w:t>
      </w:r>
      <w:r w:rsidRPr="00F73808">
        <w:rPr>
          <w:rFonts w:ascii="Times New Roman" w:hAnsi="Times New Roman" w:cs="Times New Roman"/>
          <w:szCs w:val="20"/>
        </w:rPr>
        <w:t>’</w:t>
      </w:r>
      <w:r w:rsidR="007852F2">
        <w:rPr>
          <w:rFonts w:ascii="Times New Roman" w:hAnsi="Times New Roman" w:cs="Times New Roman" w:hint="eastAsia"/>
          <w:szCs w:val="20"/>
        </w:rPr>
        <w:t>s internal capital market</w:t>
      </w:r>
      <w:r w:rsidRPr="00F73808">
        <w:rPr>
          <w:rFonts w:ascii="Times New Roman" w:hAnsi="Times New Roman" w:cs="Times New Roman" w:hint="eastAsia"/>
          <w:szCs w:val="20"/>
        </w:rPr>
        <w:t xml:space="preserve"> </w:t>
      </w:r>
      <w:r w:rsidR="007852F2">
        <w:rPr>
          <w:rFonts w:ascii="Times New Roman" w:hAnsi="Times New Roman" w:cs="Times New Roman"/>
          <w:szCs w:val="20"/>
        </w:rPr>
        <w:t>(</w:t>
      </w:r>
      <m:oMath>
        <m:r>
          <m:rPr>
            <m:sty m:val="p"/>
          </m:rPr>
          <w:rPr>
            <w:rFonts w:ascii="Cambria Math" w:hAnsi="Cambria Math" w:cs="Times New Roman"/>
            <w:szCs w:val="20"/>
          </w:rPr>
          <m:t>w</m:t>
        </m:r>
      </m:oMath>
      <w:r w:rsidRPr="00F73808">
        <w:rPr>
          <w:rFonts w:ascii="Times New Roman" w:hAnsi="Times New Roman" w:cs="Times New Roman" w:hint="eastAsia"/>
          <w:szCs w:val="20"/>
        </w:rPr>
        <w:t xml:space="preserve"> as shown in Equation (2)</w:t>
      </w:r>
      <w:r w:rsidR="007852F2">
        <w:rPr>
          <w:rFonts w:ascii="Times New Roman" w:hAnsi="Times New Roman" w:cs="Times New Roman"/>
          <w:szCs w:val="20"/>
        </w:rPr>
        <w:t>)</w:t>
      </w:r>
      <w:r w:rsidRPr="00F73808">
        <w:rPr>
          <w:rFonts w:ascii="Times New Roman" w:hAnsi="Times New Roman" w:cs="Times New Roman" w:hint="eastAsia"/>
          <w:szCs w:val="20"/>
        </w:rPr>
        <w:t xml:space="preserve"> since the market share effect of </w:t>
      </w:r>
      <w:r w:rsidRPr="00F73808">
        <w:rPr>
          <w:rFonts w:ascii="Times New Roman" w:hAnsi="Times New Roman" w:cs="Times New Roman"/>
          <w:szCs w:val="20"/>
        </w:rPr>
        <w:t>member</w:t>
      </w:r>
      <w:r w:rsidRPr="00F73808">
        <w:rPr>
          <w:rFonts w:ascii="Times New Roman" w:hAnsi="Times New Roman" w:cs="Times New Roman" w:hint="eastAsia"/>
          <w:szCs w:val="20"/>
        </w:rPr>
        <w:t xml:space="preserve"> firms is negligible given that the matched sample of non-member firms have essentially the same market share of their </w:t>
      </w:r>
      <w:r w:rsidRPr="00F73808">
        <w:rPr>
          <w:rFonts w:ascii="Times New Roman" w:hAnsi="Times New Roman" w:cs="Times New Roman"/>
          <w:szCs w:val="20"/>
        </w:rPr>
        <w:t>matching</w:t>
      </w:r>
      <w:r w:rsidRPr="00F73808">
        <w:rPr>
          <w:rFonts w:ascii="Times New Roman" w:hAnsi="Times New Roman" w:cs="Times New Roman" w:hint="eastAsia"/>
          <w:szCs w:val="20"/>
        </w:rPr>
        <w:t xml:space="preserve"> member firms. The second difference is</w:t>
      </w:r>
      <w:r w:rsidRPr="00F73808">
        <w:rPr>
          <w:rFonts w:ascii="Times New Roman" w:hAnsi="Times New Roman" w:cs="Times New Roman"/>
          <w:szCs w:val="20"/>
        </w:rPr>
        <w:t xml:space="preserve"> that</w:t>
      </w:r>
      <w:r w:rsidRPr="00F73808">
        <w:rPr>
          <w:rFonts w:ascii="Times New Roman" w:hAnsi="Times New Roman" w:cs="Times New Roman" w:hint="eastAsia"/>
          <w:szCs w:val="20"/>
        </w:rPr>
        <w:t xml:space="preserve"> instead </w:t>
      </w:r>
      <w:r w:rsidRPr="00F73808">
        <w:rPr>
          <w:rFonts w:ascii="Times New Roman" w:hAnsi="Times New Roman" w:cs="Times New Roman"/>
          <w:szCs w:val="20"/>
        </w:rPr>
        <w:t xml:space="preserve">of </w:t>
      </w:r>
      <w:r w:rsidRPr="00F73808">
        <w:rPr>
          <w:rFonts w:ascii="Times New Roman" w:hAnsi="Times New Roman" w:cs="Times New Roman" w:hint="eastAsia"/>
          <w:szCs w:val="20"/>
        </w:rPr>
        <w:t>using the firm fixed effect in Table 3, we use industry fixed effect in the new analysis. The reason is that a given member firm can be matched with different non-member firms in different years, making the matched non-member sample a highly unbalanced panel to use the firm fixed effect.</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 xml:space="preserve">The </w:t>
      </w:r>
      <w:r w:rsidRPr="00F73808">
        <w:rPr>
          <w:rFonts w:ascii="Times New Roman" w:hAnsi="Times New Roman" w:cs="Times New Roman"/>
          <w:szCs w:val="20"/>
        </w:rPr>
        <w:t>results</w:t>
      </w:r>
      <w:r w:rsidRPr="00F73808">
        <w:rPr>
          <w:rFonts w:ascii="Times New Roman" w:hAnsi="Times New Roman" w:cs="Times New Roman" w:hint="eastAsia"/>
          <w:szCs w:val="20"/>
        </w:rPr>
        <w:t xml:space="preserve"> are reported in Table 10. Panel </w:t>
      </w:r>
      <w:proofErr w:type="gramStart"/>
      <w:r w:rsidRPr="00F73808">
        <w:rPr>
          <w:rFonts w:ascii="Times New Roman" w:hAnsi="Times New Roman" w:cs="Times New Roman" w:hint="eastAsia"/>
          <w:szCs w:val="20"/>
        </w:rPr>
        <w:t>A</w:t>
      </w:r>
      <w:proofErr w:type="gramEnd"/>
      <w:r w:rsidRPr="00F73808">
        <w:rPr>
          <w:rFonts w:ascii="Times New Roman" w:hAnsi="Times New Roman" w:cs="Times New Roman" w:hint="eastAsia"/>
          <w:szCs w:val="20"/>
        </w:rPr>
        <w:t xml:space="preserve"> of Table 10 reports the results of three widely used balancing tests suggested in the literature to examine whether market share of the matched non-member firm sample is the same as it</w:t>
      </w:r>
      <w:r w:rsidRPr="00F73808">
        <w:rPr>
          <w:rFonts w:ascii="Times New Roman" w:hAnsi="Times New Roman" w:cs="Times New Roman"/>
          <w:szCs w:val="20"/>
        </w:rPr>
        <w:t>s</w:t>
      </w:r>
      <w:r w:rsidRPr="00F73808">
        <w:rPr>
          <w:rFonts w:ascii="Times New Roman" w:hAnsi="Times New Roman" w:cs="Times New Roman" w:hint="eastAsia"/>
          <w:szCs w:val="20"/>
        </w:rPr>
        <w:t xml:space="preserve"> </w:t>
      </w:r>
      <w:r w:rsidRPr="00F73808">
        <w:rPr>
          <w:rFonts w:ascii="Times New Roman" w:hAnsi="Times New Roman" w:cs="Times New Roman"/>
          <w:szCs w:val="20"/>
        </w:rPr>
        <w:t>matching</w:t>
      </w:r>
      <w:r w:rsidRPr="00F73808">
        <w:rPr>
          <w:rFonts w:ascii="Times New Roman" w:hAnsi="Times New Roman" w:cs="Times New Roman" w:hint="eastAsia"/>
          <w:szCs w:val="20"/>
        </w:rPr>
        <w:t xml:space="preserve"> member firm sample. First, the distribution support of market share for the two samples is comparable with each other. Second, the p-value of the student t test examining the mean value difference of </w:t>
      </w:r>
      <w:r w:rsidRPr="00F73808">
        <w:rPr>
          <w:rFonts w:ascii="Times New Roman" w:hAnsi="Times New Roman" w:cs="Times New Roman" w:hint="eastAsia"/>
          <w:szCs w:val="20"/>
        </w:rPr>
        <w:lastRenderedPageBreak/>
        <w:t>market share between the two samples is 0.97. Third, the p-value of the two-sample Kolmogorov-Smirnov test (KS test) for equality of market share</w:t>
      </w:r>
      <w:r w:rsidRPr="00F73808">
        <w:rPr>
          <w:rFonts w:ascii="Times New Roman" w:hAnsi="Times New Roman" w:cs="Times New Roman"/>
          <w:szCs w:val="20"/>
        </w:rPr>
        <w:t>’</w:t>
      </w:r>
      <w:r w:rsidRPr="00F73808">
        <w:rPr>
          <w:rFonts w:ascii="Times New Roman" w:hAnsi="Times New Roman" w:cs="Times New Roman" w:hint="eastAsia"/>
          <w:szCs w:val="20"/>
        </w:rPr>
        <w:t xml:space="preserve">s distribution functions </w:t>
      </w:r>
      <w:r w:rsidRPr="00F73808">
        <w:rPr>
          <w:rFonts w:ascii="Times New Roman" w:hAnsi="Times New Roman" w:cs="Times New Roman"/>
          <w:szCs w:val="20"/>
        </w:rPr>
        <w:t>across</w:t>
      </w:r>
      <w:r w:rsidRPr="00F73808">
        <w:rPr>
          <w:rFonts w:ascii="Times New Roman" w:hAnsi="Times New Roman" w:cs="Times New Roman" w:hint="eastAsia"/>
          <w:szCs w:val="20"/>
        </w:rPr>
        <w:t xml:space="preserve"> the two samples is 1. All these results suggest that the market share of the matched non-member firm sample is essentially the same as that of the matching member firm sample.</w:t>
      </w:r>
    </w:p>
    <w:p w:rsidR="00F73808" w:rsidRPr="00F73808" w:rsidRDefault="00F73808" w:rsidP="0030091E">
      <w:pPr>
        <w:spacing w:line="480" w:lineRule="auto"/>
        <w:ind w:firstLineChars="100" w:firstLine="200"/>
        <w:contextualSpacing/>
        <w:rPr>
          <w:rFonts w:ascii="Times New Roman" w:hAnsi="Times New Roman" w:cs="Times New Roman"/>
          <w:szCs w:val="20"/>
        </w:rPr>
      </w:pPr>
      <w:r w:rsidRPr="00F73808">
        <w:rPr>
          <w:rFonts w:ascii="Times New Roman" w:hAnsi="Times New Roman" w:cs="Times New Roman" w:hint="eastAsia"/>
          <w:szCs w:val="20"/>
        </w:rPr>
        <w:t>Panel B in Table 10 presents the results on the</w:t>
      </w:r>
      <w:r w:rsidRPr="00F73808">
        <w:rPr>
          <w:rFonts w:ascii="Times New Roman" w:hAnsi="Times New Roman" w:cs="Times New Roman"/>
          <w:szCs w:val="20"/>
        </w:rPr>
        <w:t xml:space="preserve"> impact of</w:t>
      </w:r>
      <w:r w:rsidRPr="00F73808">
        <w:rPr>
          <w:rFonts w:ascii="Times New Roman" w:hAnsi="Times New Roman" w:cs="Times New Roman" w:hint="eastAsia"/>
          <w:szCs w:val="20"/>
        </w:rPr>
        <w:t xml:space="preserve"> member firm</w:t>
      </w:r>
      <w:r w:rsidRPr="00F73808">
        <w:rPr>
          <w:rFonts w:ascii="Times New Roman" w:hAnsi="Times New Roman" w:cs="Times New Roman"/>
          <w:szCs w:val="20"/>
        </w:rPr>
        <w:t>’</w:t>
      </w:r>
      <w:r w:rsidRPr="00F73808">
        <w:rPr>
          <w:rFonts w:ascii="Times New Roman" w:hAnsi="Times New Roman" w:cs="Times New Roman" w:hint="eastAsia"/>
          <w:szCs w:val="20"/>
        </w:rPr>
        <w:t>s relative internal capital market size on matched non-member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financial distress risk. In addition to the OLS regression results, we report the </w:t>
      </w:r>
      <w:r w:rsidRPr="00F73808">
        <w:rPr>
          <w:rFonts w:ascii="Times New Roman" w:hAnsi="Times New Roman" w:cs="Times New Roman"/>
          <w:szCs w:val="20"/>
        </w:rPr>
        <w:t>results</w:t>
      </w:r>
      <w:r w:rsidRPr="00F73808">
        <w:rPr>
          <w:rFonts w:ascii="Times New Roman" w:hAnsi="Times New Roman" w:cs="Times New Roman" w:hint="eastAsia"/>
          <w:szCs w:val="20"/>
        </w:rPr>
        <w:t xml:space="preserve"> from </w:t>
      </w:r>
      <w:proofErr w:type="spellStart"/>
      <w:r w:rsidRPr="00F73808">
        <w:rPr>
          <w:rFonts w:ascii="Times New Roman" w:hAnsi="Times New Roman" w:cs="Times New Roman" w:hint="eastAsia"/>
          <w:szCs w:val="20"/>
        </w:rPr>
        <w:t>Fama</w:t>
      </w:r>
      <w:proofErr w:type="spellEnd"/>
      <w:r w:rsidRPr="00F73808">
        <w:rPr>
          <w:rFonts w:ascii="Times New Roman" w:hAnsi="Times New Roman" w:cs="Times New Roman" w:hint="eastAsia"/>
          <w:szCs w:val="20"/>
        </w:rPr>
        <w:t>-Macbeth two stage cross-sectional regression in the last two columns. In all specifications, the coefficients of 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relative internal capital market size, </w:t>
      </w:r>
      <m:oMath>
        <m:r>
          <m:rPr>
            <m:sty m:val="p"/>
          </m:rPr>
          <w:rPr>
            <w:rFonts w:ascii="Cambria Math" w:hAnsi="Cambria Math" w:cs="Times New Roman"/>
            <w:szCs w:val="20"/>
          </w:rPr>
          <m:t>w</m:t>
        </m:r>
      </m:oMath>
      <w:r w:rsidRPr="00F73808">
        <w:rPr>
          <w:rFonts w:ascii="Times New Roman" w:hAnsi="Times New Roman" w:cs="Times New Roman" w:hint="eastAsia"/>
          <w:szCs w:val="20"/>
        </w:rPr>
        <w:t xml:space="preserve">, are statistically significant with expected signs at a conventional level except when financial distress risk is measured by KL-score in Fama-Macbeth cross-sectional regression. Therefore, the </w:t>
      </w:r>
      <w:r w:rsidRPr="00F73808">
        <w:rPr>
          <w:rFonts w:ascii="Times New Roman" w:hAnsi="Times New Roman" w:cs="Times New Roman"/>
          <w:szCs w:val="20"/>
        </w:rPr>
        <w:t>results</w:t>
      </w:r>
      <w:r w:rsidRPr="00F73808">
        <w:rPr>
          <w:rFonts w:ascii="Times New Roman" w:hAnsi="Times New Roman" w:cs="Times New Roman" w:hint="eastAsia"/>
          <w:szCs w:val="20"/>
        </w:rPr>
        <w:t xml:space="preserve"> in Table 10 confirm our main argument that business group</w:t>
      </w:r>
      <w:r w:rsidRPr="00F73808">
        <w:rPr>
          <w:rFonts w:ascii="Times New Roman" w:hAnsi="Times New Roman" w:cs="Times New Roman"/>
          <w:szCs w:val="20"/>
        </w:rPr>
        <w:t>’</w:t>
      </w:r>
      <w:r w:rsidRPr="00F73808">
        <w:rPr>
          <w:rFonts w:ascii="Times New Roman" w:hAnsi="Times New Roman" w:cs="Times New Roman" w:hint="eastAsia"/>
          <w:szCs w:val="20"/>
        </w:rPr>
        <w:t>s influence on non-member firms</w:t>
      </w:r>
      <w:r w:rsidRPr="00F73808">
        <w:rPr>
          <w:rFonts w:ascii="Times New Roman" w:hAnsi="Times New Roman" w:cs="Times New Roman"/>
          <w:szCs w:val="20"/>
        </w:rPr>
        <w:t>’</w:t>
      </w:r>
      <w:r w:rsidRPr="00F73808">
        <w:rPr>
          <w:rFonts w:ascii="Times New Roman" w:hAnsi="Times New Roman" w:cs="Times New Roman" w:hint="eastAsia"/>
          <w:szCs w:val="20"/>
        </w:rPr>
        <w:t xml:space="preserve"> financial distress risk com</w:t>
      </w:r>
      <w:r w:rsidRPr="00F73808">
        <w:rPr>
          <w:rFonts w:ascii="Times New Roman" w:hAnsi="Times New Roman" w:cs="Times New Roman"/>
          <w:szCs w:val="20"/>
        </w:rPr>
        <w:t>es</w:t>
      </w:r>
      <w:r w:rsidRPr="00F73808">
        <w:rPr>
          <w:rFonts w:ascii="Times New Roman" w:hAnsi="Times New Roman" w:cs="Times New Roman" w:hint="eastAsia"/>
          <w:szCs w:val="20"/>
        </w:rPr>
        <w:t xml:space="preserve"> from the existence of internal capital market among member firms.</w:t>
      </w:r>
    </w:p>
    <w:p w:rsidR="00F73808" w:rsidRPr="00F73808" w:rsidRDefault="00F73808" w:rsidP="0030091E">
      <w:pPr>
        <w:spacing w:line="480" w:lineRule="auto"/>
        <w:contextualSpacing/>
        <w:jc w:val="center"/>
        <w:rPr>
          <w:rFonts w:ascii="Times New Roman" w:hAnsi="Times New Roman" w:cs="Times New Roman"/>
          <w:szCs w:val="20"/>
        </w:rPr>
      </w:pPr>
      <w:r w:rsidRPr="00F73808">
        <w:rPr>
          <w:rFonts w:ascii="Times New Roman" w:hAnsi="Times New Roman" w:cs="Times New Roman"/>
          <w:szCs w:val="20"/>
        </w:rPr>
        <w:t xml:space="preserve">[Insert Table </w:t>
      </w:r>
      <w:r w:rsidRPr="00F73808">
        <w:rPr>
          <w:rFonts w:ascii="Times New Roman" w:hAnsi="Times New Roman" w:cs="Times New Roman" w:hint="eastAsia"/>
          <w:szCs w:val="20"/>
        </w:rPr>
        <w:t>10</w:t>
      </w:r>
      <w:r w:rsidRPr="00F73808">
        <w:rPr>
          <w:rFonts w:ascii="Times New Roman" w:hAnsi="Times New Roman" w:cs="Times New Roman"/>
          <w:szCs w:val="20"/>
        </w:rPr>
        <w:t xml:space="preserve"> about here]</w:t>
      </w:r>
    </w:p>
    <w:p w:rsidR="00F73808" w:rsidRDefault="00F73808" w:rsidP="0030091E">
      <w:pPr>
        <w:spacing w:line="480" w:lineRule="auto"/>
        <w:contextualSpacing/>
        <w:rPr>
          <w:rFonts w:ascii="Times New Roman" w:hAnsi="Times New Roman" w:cs="Times New Roman"/>
          <w:szCs w:val="20"/>
        </w:rPr>
      </w:pPr>
    </w:p>
    <w:p w:rsidR="0030091E" w:rsidRPr="0030091E" w:rsidRDefault="00886B05" w:rsidP="0030091E">
      <w:pPr>
        <w:spacing w:line="480" w:lineRule="auto"/>
        <w:contextualSpacing/>
        <w:rPr>
          <w:rFonts w:ascii="Times New Roman" w:hAnsi="Times New Roman" w:cs="Times New Roman"/>
          <w:b/>
          <w:sz w:val="30"/>
          <w:szCs w:val="30"/>
        </w:rPr>
      </w:pPr>
      <w:r w:rsidRPr="0030091E">
        <w:rPr>
          <w:rFonts w:ascii="Times New Roman" w:hAnsi="Times New Roman" w:cs="Times New Roman"/>
          <w:b/>
          <w:sz w:val="30"/>
          <w:szCs w:val="30"/>
        </w:rPr>
        <w:fldChar w:fldCharType="begin"/>
      </w:r>
      <w:r w:rsidR="0030091E" w:rsidRPr="0030091E">
        <w:rPr>
          <w:rFonts w:ascii="Times New Roman" w:eastAsia="SimSun" w:hAnsi="Times New Roman" w:cs="Times New Roman"/>
          <w:b/>
          <w:sz w:val="30"/>
          <w:szCs w:val="30"/>
          <w:lang w:eastAsia="zh-CN"/>
        </w:rPr>
        <w:instrText xml:space="preserve"> </w:instrText>
      </w:r>
      <w:r w:rsidR="0030091E" w:rsidRPr="0030091E">
        <w:rPr>
          <w:rFonts w:ascii="Times New Roman" w:eastAsia="SimSun" w:hAnsi="Times New Roman" w:cs="Times New Roman" w:hint="eastAsia"/>
          <w:b/>
          <w:sz w:val="30"/>
          <w:szCs w:val="30"/>
          <w:lang w:eastAsia="zh-CN"/>
        </w:rPr>
        <w:instrText>= 6 \* ROMAN</w:instrText>
      </w:r>
      <w:r w:rsidR="0030091E" w:rsidRPr="0030091E">
        <w:rPr>
          <w:rFonts w:ascii="Times New Roman" w:eastAsia="SimSun" w:hAnsi="Times New Roman" w:cs="Times New Roman"/>
          <w:b/>
          <w:sz w:val="30"/>
          <w:szCs w:val="30"/>
          <w:lang w:eastAsia="zh-CN"/>
        </w:rPr>
        <w:instrText xml:space="preserve"> </w:instrText>
      </w:r>
      <w:r w:rsidRPr="0030091E">
        <w:rPr>
          <w:rFonts w:ascii="Times New Roman" w:hAnsi="Times New Roman" w:cs="Times New Roman"/>
          <w:b/>
          <w:sz w:val="30"/>
          <w:szCs w:val="30"/>
        </w:rPr>
        <w:fldChar w:fldCharType="separate"/>
      </w:r>
      <w:proofErr w:type="gramStart"/>
      <w:r w:rsidR="0030091E" w:rsidRPr="0030091E">
        <w:rPr>
          <w:rFonts w:ascii="Times New Roman" w:eastAsia="SimSun" w:hAnsi="Times New Roman" w:cs="Times New Roman"/>
          <w:b/>
          <w:noProof/>
          <w:sz w:val="30"/>
          <w:szCs w:val="30"/>
          <w:lang w:eastAsia="zh-CN"/>
        </w:rPr>
        <w:t>VI</w:t>
      </w:r>
      <w:r w:rsidRPr="0030091E">
        <w:rPr>
          <w:rFonts w:ascii="Times New Roman" w:hAnsi="Times New Roman" w:cs="Times New Roman"/>
          <w:b/>
          <w:sz w:val="30"/>
          <w:szCs w:val="30"/>
        </w:rPr>
        <w:fldChar w:fldCharType="end"/>
      </w:r>
      <w:r w:rsidR="0030091E" w:rsidRPr="0030091E">
        <w:rPr>
          <w:rFonts w:ascii="Times New Roman" w:hAnsi="Times New Roman" w:cs="Times New Roman" w:hint="eastAsia"/>
          <w:b/>
          <w:sz w:val="30"/>
          <w:szCs w:val="30"/>
        </w:rPr>
        <w:t>.</w:t>
      </w:r>
      <w:proofErr w:type="gramEnd"/>
      <w:r w:rsidR="0030091E" w:rsidRPr="0030091E">
        <w:rPr>
          <w:rFonts w:ascii="Times New Roman" w:hAnsi="Times New Roman" w:cs="Times New Roman" w:hint="eastAsia"/>
          <w:b/>
          <w:sz w:val="30"/>
          <w:szCs w:val="30"/>
        </w:rPr>
        <w:t xml:space="preserve"> Conclusion</w:t>
      </w:r>
    </w:p>
    <w:p w:rsidR="0030091E" w:rsidRPr="0030091E" w:rsidRDefault="0030091E" w:rsidP="0030091E">
      <w:pPr>
        <w:spacing w:line="480" w:lineRule="auto"/>
        <w:ind w:firstLineChars="100" w:firstLine="200"/>
        <w:contextualSpacing/>
        <w:rPr>
          <w:rFonts w:ascii="Times New Roman" w:hAnsi="Times New Roman" w:cs="Times New Roman"/>
          <w:szCs w:val="20"/>
        </w:rPr>
      </w:pPr>
      <w:r w:rsidRPr="0030091E">
        <w:rPr>
          <w:rFonts w:ascii="Times New Roman" w:hAnsi="Times New Roman" w:cs="Times New Roman" w:hint="eastAsia"/>
          <w:szCs w:val="20"/>
        </w:rPr>
        <w:t xml:space="preserve">In this study, we try to identify another type of </w:t>
      </w:r>
      <w:r w:rsidRPr="0030091E">
        <w:rPr>
          <w:rFonts w:ascii="Times New Roman" w:hAnsi="Times New Roman" w:cs="Times New Roman"/>
          <w:szCs w:val="20"/>
        </w:rPr>
        <w:t>external</w:t>
      </w:r>
      <w:r w:rsidRPr="0030091E">
        <w:rPr>
          <w:rFonts w:ascii="Times New Roman" w:hAnsi="Times New Roman" w:cs="Times New Roman" w:hint="eastAsia"/>
          <w:szCs w:val="20"/>
        </w:rPr>
        <w:t xml:space="preserve"> effect that business group exert on other firms</w:t>
      </w:r>
      <w:r w:rsidRPr="0030091E">
        <w:rPr>
          <w:rFonts w:ascii="Times New Roman" w:hAnsi="Times New Roman" w:cs="Times New Roman"/>
          <w:szCs w:val="20"/>
        </w:rPr>
        <w:t xml:space="preserve">: </w:t>
      </w:r>
      <w:r w:rsidRPr="0030091E">
        <w:rPr>
          <w:rFonts w:ascii="Times New Roman" w:hAnsi="Times New Roman" w:cs="Times New Roman" w:hint="eastAsia"/>
          <w:szCs w:val="20"/>
        </w:rPr>
        <w:t xml:space="preserve">its effect on financial distress risk. Using Korean firms we first find </w:t>
      </w:r>
      <w:r w:rsidRPr="0030091E">
        <w:rPr>
          <w:rFonts w:ascii="Times New Roman" w:hAnsi="Times New Roman" w:cs="Times New Roman"/>
          <w:szCs w:val="20"/>
        </w:rPr>
        <w:t xml:space="preserve">that </w:t>
      </w:r>
      <w:r w:rsidRPr="0030091E">
        <w:rPr>
          <w:rFonts w:ascii="Times New Roman" w:hAnsi="Times New Roman" w:cs="Times New Roman" w:hint="eastAsia"/>
          <w:szCs w:val="20"/>
        </w:rPr>
        <w:t>the existence of business group has a negative influence on other firms</w:t>
      </w:r>
      <w:r w:rsidRPr="0030091E">
        <w:rPr>
          <w:rFonts w:ascii="Times New Roman" w:hAnsi="Times New Roman" w:cs="Times New Roman"/>
          <w:szCs w:val="20"/>
        </w:rPr>
        <w:t>’</w:t>
      </w:r>
      <w:r w:rsidRPr="0030091E">
        <w:rPr>
          <w:rFonts w:ascii="Times New Roman" w:hAnsi="Times New Roman" w:cs="Times New Roman" w:hint="eastAsia"/>
          <w:szCs w:val="20"/>
        </w:rPr>
        <w:t xml:space="preserve"> financial health. More specifically, high level of BSDI is associated with high level of financial distress risk for non-member firms. Second, we find evidence that business group has negative </w:t>
      </w:r>
      <w:r w:rsidRPr="0030091E">
        <w:rPr>
          <w:rFonts w:ascii="Times New Roman" w:hAnsi="Times New Roman" w:cs="Times New Roman"/>
          <w:szCs w:val="20"/>
        </w:rPr>
        <w:t>influence</w:t>
      </w:r>
      <w:r w:rsidRPr="0030091E">
        <w:rPr>
          <w:rFonts w:ascii="Times New Roman" w:hAnsi="Times New Roman" w:cs="Times New Roman" w:hint="eastAsia"/>
          <w:szCs w:val="20"/>
        </w:rPr>
        <w:t xml:space="preserve"> for the financial health of the entire </w:t>
      </w:r>
      <w:r w:rsidRPr="0030091E">
        <w:rPr>
          <w:rFonts w:ascii="Times New Roman" w:hAnsi="Times New Roman" w:cs="Times New Roman"/>
          <w:szCs w:val="20"/>
        </w:rPr>
        <w:t>industry</w:t>
      </w:r>
      <w:r w:rsidRPr="0030091E">
        <w:rPr>
          <w:rFonts w:ascii="Times New Roman" w:hAnsi="Times New Roman" w:cs="Times New Roman" w:hint="eastAsia"/>
          <w:szCs w:val="20"/>
        </w:rPr>
        <w:t xml:space="preserve"> (the equilibrium effect of </w:t>
      </w:r>
      <w:r w:rsidRPr="0030091E">
        <w:rPr>
          <w:rFonts w:ascii="Times New Roman" w:hAnsi="Times New Roman" w:cs="Times New Roman"/>
          <w:szCs w:val="20"/>
        </w:rPr>
        <w:t>business</w:t>
      </w:r>
      <w:r w:rsidRPr="0030091E">
        <w:rPr>
          <w:rFonts w:ascii="Times New Roman" w:hAnsi="Times New Roman" w:cs="Times New Roman" w:hint="eastAsia"/>
          <w:szCs w:val="20"/>
        </w:rPr>
        <w:t xml:space="preserve"> group). Third, we confirm that financial constraint of non-member firms serves as a necessary condition for business group</w:t>
      </w:r>
      <w:r w:rsidRPr="0030091E">
        <w:rPr>
          <w:rFonts w:ascii="Times New Roman" w:hAnsi="Times New Roman" w:cs="Times New Roman"/>
          <w:szCs w:val="20"/>
        </w:rPr>
        <w:t>’</w:t>
      </w:r>
      <w:r w:rsidRPr="0030091E">
        <w:rPr>
          <w:rFonts w:ascii="Times New Roman" w:hAnsi="Times New Roman" w:cs="Times New Roman" w:hint="eastAsia"/>
          <w:szCs w:val="20"/>
        </w:rPr>
        <w:t xml:space="preserve">s influence to take effect. We show that the influence of </w:t>
      </w:r>
      <w:r w:rsidRPr="0030091E">
        <w:rPr>
          <w:rFonts w:ascii="Times New Roman" w:hAnsi="Times New Roman" w:cs="Times New Roman"/>
          <w:szCs w:val="20"/>
        </w:rPr>
        <w:t>business</w:t>
      </w:r>
      <w:r w:rsidRPr="0030091E">
        <w:rPr>
          <w:rFonts w:ascii="Times New Roman" w:hAnsi="Times New Roman" w:cs="Times New Roman" w:hint="eastAsia"/>
          <w:szCs w:val="20"/>
        </w:rPr>
        <w:t xml:space="preserve"> group on non-member firms</w:t>
      </w:r>
      <w:r w:rsidRPr="0030091E">
        <w:rPr>
          <w:rFonts w:ascii="Times New Roman" w:hAnsi="Times New Roman" w:cs="Times New Roman"/>
          <w:szCs w:val="20"/>
        </w:rPr>
        <w:t>’</w:t>
      </w:r>
      <w:r w:rsidRPr="0030091E">
        <w:rPr>
          <w:rFonts w:ascii="Times New Roman" w:hAnsi="Times New Roman" w:cs="Times New Roman" w:hint="eastAsia"/>
          <w:szCs w:val="20"/>
        </w:rPr>
        <w:t xml:space="preserve"> </w:t>
      </w:r>
      <w:r w:rsidRPr="0030091E">
        <w:rPr>
          <w:rFonts w:ascii="Times New Roman" w:hAnsi="Times New Roman" w:cs="Times New Roman"/>
          <w:szCs w:val="20"/>
        </w:rPr>
        <w:t>financial</w:t>
      </w:r>
      <w:r w:rsidRPr="0030091E">
        <w:rPr>
          <w:rFonts w:ascii="Times New Roman" w:hAnsi="Times New Roman" w:cs="Times New Roman" w:hint="eastAsia"/>
          <w:szCs w:val="20"/>
        </w:rPr>
        <w:t xml:space="preserve"> distress risk is much stronger when the non-member firms have high level of financial constraint. In addition, when there is a negative </w:t>
      </w:r>
      <w:r w:rsidRPr="0030091E">
        <w:rPr>
          <w:rFonts w:ascii="Times New Roman" w:hAnsi="Times New Roman" w:cs="Times New Roman"/>
          <w:szCs w:val="20"/>
        </w:rPr>
        <w:t>exogenous</w:t>
      </w:r>
      <w:r w:rsidRPr="0030091E">
        <w:rPr>
          <w:rFonts w:ascii="Times New Roman" w:hAnsi="Times New Roman" w:cs="Times New Roman" w:hint="eastAsia"/>
          <w:szCs w:val="20"/>
        </w:rPr>
        <w:t xml:space="preserve"> shock in the external capital market that make</w:t>
      </w:r>
      <w:r w:rsidRPr="0030091E">
        <w:rPr>
          <w:rFonts w:ascii="Times New Roman" w:hAnsi="Times New Roman" w:cs="Times New Roman"/>
          <w:szCs w:val="20"/>
        </w:rPr>
        <w:t>s</w:t>
      </w:r>
      <w:r w:rsidRPr="0030091E">
        <w:rPr>
          <w:rFonts w:ascii="Times New Roman" w:hAnsi="Times New Roman" w:cs="Times New Roman" w:hint="eastAsia"/>
          <w:szCs w:val="20"/>
        </w:rPr>
        <w:t xml:space="preserve"> non-member firms even more financially constrained, the </w:t>
      </w:r>
      <w:r w:rsidRPr="0030091E">
        <w:rPr>
          <w:rFonts w:ascii="Times New Roman" w:hAnsi="Times New Roman" w:cs="Times New Roman"/>
          <w:szCs w:val="20"/>
        </w:rPr>
        <w:t>influence</w:t>
      </w:r>
      <w:r w:rsidRPr="0030091E">
        <w:rPr>
          <w:rFonts w:ascii="Times New Roman" w:hAnsi="Times New Roman" w:cs="Times New Roman" w:hint="eastAsia"/>
          <w:szCs w:val="20"/>
        </w:rPr>
        <w:t xml:space="preserve"> of business group on non-member firms</w:t>
      </w:r>
      <w:r w:rsidRPr="0030091E">
        <w:rPr>
          <w:rFonts w:ascii="Times New Roman" w:hAnsi="Times New Roman" w:cs="Times New Roman"/>
          <w:szCs w:val="20"/>
        </w:rPr>
        <w:t>’</w:t>
      </w:r>
      <w:r w:rsidRPr="0030091E">
        <w:rPr>
          <w:rFonts w:ascii="Times New Roman" w:hAnsi="Times New Roman" w:cs="Times New Roman" w:hint="eastAsia"/>
          <w:szCs w:val="20"/>
        </w:rPr>
        <w:t xml:space="preserve"> financial</w:t>
      </w:r>
      <w:r w:rsidRPr="0030091E">
        <w:rPr>
          <w:rFonts w:ascii="Times New Roman" w:hAnsi="Times New Roman" w:cs="Times New Roman"/>
          <w:szCs w:val="20"/>
        </w:rPr>
        <w:t xml:space="preserve"> distress</w:t>
      </w:r>
      <w:r w:rsidRPr="0030091E">
        <w:rPr>
          <w:rFonts w:ascii="Times New Roman" w:hAnsi="Times New Roman" w:cs="Times New Roman" w:hint="eastAsia"/>
          <w:szCs w:val="20"/>
        </w:rPr>
        <w:t xml:space="preserve"> risk is much st</w:t>
      </w:r>
      <w:r>
        <w:rPr>
          <w:rFonts w:ascii="Times New Roman" w:hAnsi="Times New Roman" w:cs="Times New Roman"/>
          <w:szCs w:val="20"/>
        </w:rPr>
        <w:t>r</w:t>
      </w:r>
      <w:r w:rsidRPr="0030091E">
        <w:rPr>
          <w:rFonts w:ascii="Times New Roman" w:hAnsi="Times New Roman" w:cs="Times New Roman" w:hint="eastAsia"/>
          <w:szCs w:val="20"/>
        </w:rPr>
        <w:t xml:space="preserve">onger. </w:t>
      </w:r>
      <w:proofErr w:type="gramStart"/>
      <w:r w:rsidRPr="0030091E">
        <w:rPr>
          <w:rFonts w:ascii="Times New Roman" w:hAnsi="Times New Roman" w:cs="Times New Roman" w:hint="eastAsia"/>
          <w:szCs w:val="20"/>
        </w:rPr>
        <w:t xml:space="preserve">Compared to the non-crisis period, the </w:t>
      </w:r>
      <w:r w:rsidRPr="0030091E">
        <w:rPr>
          <w:rFonts w:ascii="Times New Roman" w:hAnsi="Times New Roman" w:cs="Times New Roman"/>
          <w:szCs w:val="20"/>
        </w:rPr>
        <w:t>coefficient</w:t>
      </w:r>
      <w:r w:rsidRPr="0030091E">
        <w:rPr>
          <w:rFonts w:ascii="Times New Roman" w:hAnsi="Times New Roman" w:cs="Times New Roman" w:hint="eastAsia"/>
          <w:szCs w:val="20"/>
        </w:rPr>
        <w:t xml:space="preserve"> of BSDI for the 2007-2009 global financial crisis period more than doubled in magnitude.</w:t>
      </w:r>
      <w:proofErr w:type="gramEnd"/>
    </w:p>
    <w:p w:rsidR="0030091E" w:rsidRDefault="0030091E" w:rsidP="0030091E">
      <w:pPr>
        <w:spacing w:line="480" w:lineRule="auto"/>
        <w:ind w:firstLineChars="100" w:firstLine="200"/>
        <w:contextualSpacing/>
        <w:rPr>
          <w:rFonts w:ascii="Times New Roman" w:hAnsi="Times New Roman" w:cs="Times New Roman"/>
          <w:szCs w:val="20"/>
        </w:rPr>
      </w:pPr>
      <w:r w:rsidRPr="0030091E">
        <w:rPr>
          <w:rFonts w:ascii="Times New Roman" w:hAnsi="Times New Roman" w:cs="Times New Roman" w:hint="eastAsia"/>
          <w:szCs w:val="20"/>
        </w:rPr>
        <w:t xml:space="preserve">Overall, by showing that the existence of business group is harmful for the financial health of other firms in the industry, our study directly contributes to the </w:t>
      </w:r>
      <w:r w:rsidRPr="0030091E">
        <w:rPr>
          <w:rFonts w:ascii="Times New Roman" w:hAnsi="Times New Roman" w:cs="Times New Roman"/>
          <w:szCs w:val="20"/>
        </w:rPr>
        <w:t>literature</w:t>
      </w:r>
      <w:r w:rsidRPr="0030091E">
        <w:rPr>
          <w:rFonts w:ascii="Times New Roman" w:hAnsi="Times New Roman" w:cs="Times New Roman" w:hint="eastAsia"/>
          <w:szCs w:val="20"/>
        </w:rPr>
        <w:t xml:space="preserve"> that investigates the externality of business group, the </w:t>
      </w:r>
      <w:r w:rsidRPr="0030091E">
        <w:rPr>
          <w:rFonts w:ascii="Times New Roman" w:hAnsi="Times New Roman" w:cs="Times New Roman" w:hint="eastAsia"/>
          <w:szCs w:val="20"/>
        </w:rPr>
        <w:lastRenderedPageBreak/>
        <w:t xml:space="preserve">area that has been neglected by researchers. We believe that our findings also have important implications on business </w:t>
      </w:r>
      <w:r w:rsidRPr="0030091E">
        <w:rPr>
          <w:rFonts w:ascii="Times New Roman" w:hAnsi="Times New Roman" w:cs="Times New Roman"/>
          <w:szCs w:val="20"/>
        </w:rPr>
        <w:t>group</w:t>
      </w:r>
      <w:r w:rsidRPr="0030091E">
        <w:rPr>
          <w:rFonts w:ascii="Times New Roman" w:hAnsi="Times New Roman" w:cs="Times New Roman" w:hint="eastAsia"/>
          <w:szCs w:val="20"/>
        </w:rPr>
        <w:t xml:space="preserve"> related policy.</w:t>
      </w:r>
    </w:p>
    <w:p w:rsidR="003D699C" w:rsidRPr="00760EB0" w:rsidRDefault="007A5303" w:rsidP="003D699C">
      <w:pPr>
        <w:wordWrap/>
        <w:spacing w:line="420" w:lineRule="auto"/>
        <w:rPr>
          <w:rFonts w:ascii="Times New Roman" w:hAnsi="Times New Roman" w:cs="Times New Roman"/>
          <w:b/>
          <w:sz w:val="30"/>
          <w:szCs w:val="30"/>
        </w:rPr>
      </w:pPr>
      <w:r>
        <w:rPr>
          <w:rFonts w:ascii="Times New Roman" w:hAnsi="Times New Roman" w:cs="Times New Roman"/>
          <w:szCs w:val="20"/>
        </w:rPr>
        <w:br w:type="page"/>
      </w:r>
      <w:r w:rsidR="003D699C" w:rsidRPr="00760EB0">
        <w:rPr>
          <w:rFonts w:ascii="Times New Roman" w:hAnsi="Times New Roman" w:cs="Times New Roman"/>
          <w:b/>
          <w:sz w:val="30"/>
          <w:szCs w:val="30"/>
        </w:rPr>
        <w:lastRenderedPageBreak/>
        <w:t>References</w:t>
      </w:r>
    </w:p>
    <w:p w:rsidR="003D699C" w:rsidRPr="00760EB0" w:rsidRDefault="00886B05" w:rsidP="003D699C">
      <w:pPr>
        <w:wordWrap/>
        <w:spacing w:after="0" w:line="420" w:lineRule="auto"/>
        <w:ind w:left="720" w:hanging="720"/>
        <w:rPr>
          <w:rFonts w:ascii="Times New Roman" w:eastAsia="맑은 고딕" w:hAnsi="Times New Roman" w:cs="Times New Roman"/>
          <w:noProof/>
          <w:szCs w:val="20"/>
        </w:rPr>
      </w:pPr>
      <w:r w:rsidRPr="00760EB0">
        <w:rPr>
          <w:rFonts w:ascii="Times New Roman" w:hAnsi="Times New Roman" w:cs="Times New Roman"/>
        </w:rPr>
        <w:fldChar w:fldCharType="begin"/>
      </w:r>
      <w:r w:rsidR="003D699C" w:rsidRPr="00760EB0">
        <w:rPr>
          <w:rFonts w:ascii="Times New Roman" w:hAnsi="Times New Roman" w:cs="Times New Roman"/>
        </w:rPr>
        <w:instrText xml:space="preserve"> ADDIN EN.REFLIST </w:instrText>
      </w:r>
      <w:r w:rsidRPr="00760EB0">
        <w:rPr>
          <w:rFonts w:ascii="Times New Roman" w:hAnsi="Times New Roman" w:cs="Times New Roman"/>
        </w:rPr>
        <w:fldChar w:fldCharType="separate"/>
      </w:r>
      <w:bookmarkStart w:id="1" w:name="_ENREF_1"/>
      <w:r w:rsidR="003D699C" w:rsidRPr="00760EB0">
        <w:rPr>
          <w:rFonts w:ascii="Times New Roman" w:eastAsia="맑은 고딕" w:hAnsi="Times New Roman" w:cs="Times New Roman"/>
          <w:noProof/>
          <w:szCs w:val="20"/>
        </w:rPr>
        <w:t xml:space="preserve">Almeida, Heitor, and Murillo Campello, 2007, Financial constraints, asset tangibility, and corporate investment, </w:t>
      </w:r>
      <w:r w:rsidR="003D699C" w:rsidRPr="00760EB0">
        <w:rPr>
          <w:rFonts w:ascii="Times New Roman" w:eastAsia="맑은 고딕" w:hAnsi="Times New Roman" w:cs="Times New Roman"/>
          <w:i/>
          <w:noProof/>
          <w:szCs w:val="20"/>
        </w:rPr>
        <w:t>Review of Financial Studies</w:t>
      </w:r>
      <w:r w:rsidR="003D699C" w:rsidRPr="00760EB0">
        <w:rPr>
          <w:rFonts w:ascii="Times New Roman" w:eastAsia="맑은 고딕" w:hAnsi="Times New Roman" w:cs="Times New Roman"/>
          <w:noProof/>
          <w:szCs w:val="20"/>
        </w:rPr>
        <w:t xml:space="preserve"> 20, 1429-1460.</w:t>
      </w:r>
      <w:bookmarkEnd w:id="1"/>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 w:name="_ENREF_2"/>
      <w:r w:rsidRPr="00760EB0">
        <w:rPr>
          <w:rFonts w:ascii="Times New Roman" w:eastAsia="맑은 고딕" w:hAnsi="Times New Roman" w:cs="Times New Roman"/>
          <w:noProof/>
          <w:szCs w:val="20"/>
        </w:rPr>
        <w:t>Almeida, Heitor, Brian Kim, and Chang Soo Kim, 2015, Internal capital markets in busi</w:t>
      </w:r>
      <w:r>
        <w:rPr>
          <w:rFonts w:ascii="Times New Roman" w:eastAsia="맑은 고딕" w:hAnsi="Times New Roman" w:cs="Times New Roman"/>
          <w:noProof/>
          <w:szCs w:val="20"/>
        </w:rPr>
        <w:t>ness groups: Evidence from the A</w:t>
      </w:r>
      <w:r w:rsidRPr="00760EB0">
        <w:rPr>
          <w:rFonts w:ascii="Times New Roman" w:eastAsia="맑은 고딕" w:hAnsi="Times New Roman" w:cs="Times New Roman"/>
          <w:noProof/>
          <w:szCs w:val="20"/>
        </w:rPr>
        <w:t>sian financial crisis</w:t>
      </w:r>
      <w:r>
        <w:rPr>
          <w:rFonts w:ascii="Times New Roman" w:eastAsia="맑은 고딕" w:hAnsi="Times New Roman" w:cs="Times New Roman"/>
          <w:noProof/>
          <w:szCs w:val="20"/>
        </w:rPr>
        <w:t>, Working paper</w:t>
      </w:r>
      <w:r w:rsidRPr="00760EB0">
        <w:rPr>
          <w:rFonts w:ascii="Times New Roman" w:eastAsia="맑은 고딕" w:hAnsi="Times New Roman" w:cs="Times New Roman"/>
          <w:noProof/>
          <w:szCs w:val="20"/>
        </w:rPr>
        <w:t>.</w:t>
      </w:r>
      <w:bookmarkEnd w:id="2"/>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 w:name="_ENREF_3"/>
      <w:r w:rsidRPr="00760EB0">
        <w:rPr>
          <w:rFonts w:ascii="Times New Roman" w:eastAsia="맑은 고딕" w:hAnsi="Times New Roman" w:cs="Times New Roman"/>
          <w:noProof/>
          <w:szCs w:val="20"/>
        </w:rPr>
        <w:t>Almeida, Heitor, and Thomas Philippon, 2007, The risk</w:t>
      </w:r>
      <w:r w:rsidRPr="00760EB0">
        <w:rPr>
          <w:rFonts w:ascii="Cambria Math" w:eastAsia="맑은 고딕" w:hAnsi="Cambria Math" w:cs="Cambria Math"/>
          <w:noProof/>
          <w:szCs w:val="20"/>
        </w:rPr>
        <w:t>‐</w:t>
      </w:r>
      <w:r w:rsidRPr="00760EB0">
        <w:rPr>
          <w:rFonts w:ascii="Times New Roman" w:eastAsia="맑은 고딕" w:hAnsi="Times New Roman" w:cs="Times New Roman"/>
          <w:noProof/>
          <w:szCs w:val="20"/>
        </w:rPr>
        <w:t xml:space="preserve">adjusted cost of financial distress,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62, 2557-2586.</w:t>
      </w:r>
      <w:bookmarkEnd w:id="3"/>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 w:name="_ENREF_4"/>
      <w:r w:rsidRPr="00760EB0">
        <w:rPr>
          <w:rFonts w:ascii="Times New Roman" w:eastAsia="맑은 고딕" w:hAnsi="Times New Roman" w:cs="Times New Roman"/>
          <w:noProof/>
          <w:szCs w:val="20"/>
        </w:rPr>
        <w:t xml:space="preserve">Almeida, Heitor, and Daniel Wolfenzon, 2006, Should business groups be dismantled? The equilibrium costs of efficient internal capital markets, </w:t>
      </w:r>
      <w:r w:rsidRPr="00760EB0">
        <w:rPr>
          <w:rFonts w:ascii="Times New Roman" w:eastAsia="맑은 고딕" w:hAnsi="Times New Roman" w:cs="Times New Roman"/>
          <w:i/>
          <w:noProof/>
          <w:szCs w:val="20"/>
        </w:rPr>
        <w:t>Journal of Financial Economics</w:t>
      </w:r>
      <w:r w:rsidRPr="00760EB0">
        <w:rPr>
          <w:rFonts w:ascii="Times New Roman" w:eastAsia="맑은 고딕" w:hAnsi="Times New Roman" w:cs="Times New Roman"/>
          <w:noProof/>
          <w:szCs w:val="20"/>
        </w:rPr>
        <w:t xml:space="preserve"> 79, 99-144.</w:t>
      </w:r>
      <w:bookmarkEnd w:id="4"/>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5" w:name="_ENREF_5"/>
      <w:r w:rsidRPr="00760EB0">
        <w:rPr>
          <w:rFonts w:ascii="Times New Roman" w:eastAsia="맑은 고딕" w:hAnsi="Times New Roman" w:cs="Times New Roman"/>
          <w:noProof/>
          <w:szCs w:val="20"/>
        </w:rPr>
        <w:t xml:space="preserve">Altman, Edward I, 1968, Financial ratios, discriminant analysis and the prediction of corporate bankruptcy,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23, 589-609.</w:t>
      </w:r>
      <w:bookmarkEnd w:id="5"/>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6" w:name="_ENREF_6"/>
      <w:r w:rsidRPr="00760EB0">
        <w:rPr>
          <w:rFonts w:ascii="Times New Roman" w:eastAsia="맑은 고딕" w:hAnsi="Times New Roman" w:cs="Times New Roman"/>
          <w:noProof/>
          <w:szCs w:val="20"/>
        </w:rPr>
        <w:t>Bae, Kee-Hong, Jun-Koo Kang, and Jin-Mo Kim, 2002, Tunneling or value a</w:t>
      </w:r>
      <w:r>
        <w:rPr>
          <w:rFonts w:ascii="Times New Roman" w:eastAsia="맑은 고딕" w:hAnsi="Times New Roman" w:cs="Times New Roman"/>
          <w:noProof/>
          <w:szCs w:val="20"/>
        </w:rPr>
        <w:t>dded? Evidence from mergers by K</w:t>
      </w:r>
      <w:r w:rsidRPr="00760EB0">
        <w:rPr>
          <w:rFonts w:ascii="Times New Roman" w:eastAsia="맑은 고딕" w:hAnsi="Times New Roman" w:cs="Times New Roman"/>
          <w:noProof/>
          <w:szCs w:val="20"/>
        </w:rPr>
        <w:t xml:space="preserve">orean business groups, </w:t>
      </w:r>
      <w:r w:rsidRPr="00760EB0">
        <w:rPr>
          <w:rFonts w:ascii="Times New Roman" w:eastAsia="맑은 고딕" w:hAnsi="Times New Roman" w:cs="Times New Roman"/>
          <w:i/>
          <w:noProof/>
          <w:szCs w:val="20"/>
        </w:rPr>
        <w:t>Journal of Finance</w:t>
      </w:r>
      <w:r>
        <w:rPr>
          <w:rFonts w:ascii="Times New Roman" w:eastAsia="맑은 고딕" w:hAnsi="Times New Roman" w:cs="Times New Roman"/>
          <w:i/>
          <w:noProof/>
          <w:szCs w:val="20"/>
        </w:rPr>
        <w:t xml:space="preserve"> </w:t>
      </w:r>
      <w:r w:rsidRPr="00760EB0">
        <w:rPr>
          <w:rFonts w:ascii="Times New Roman" w:eastAsia="맑은 고딕" w:hAnsi="Times New Roman" w:cs="Times New Roman"/>
          <w:noProof/>
          <w:szCs w:val="20"/>
        </w:rPr>
        <w:t>57, 2695-2740.</w:t>
      </w:r>
      <w:bookmarkEnd w:id="6"/>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7" w:name="_ENREF_7"/>
      <w:r w:rsidRPr="00760EB0">
        <w:rPr>
          <w:rFonts w:ascii="Times New Roman" w:eastAsia="맑은 고딕" w:hAnsi="Times New Roman" w:cs="Times New Roman"/>
          <w:noProof/>
          <w:szCs w:val="20"/>
        </w:rPr>
        <w:t>Baek, Jae-Seung, Jun-Koo Kang, and Kyung Suh Park, 2004, Corporate governance and</w:t>
      </w:r>
      <w:r>
        <w:rPr>
          <w:rFonts w:ascii="Times New Roman" w:eastAsia="맑은 고딕" w:hAnsi="Times New Roman" w:cs="Times New Roman"/>
          <w:noProof/>
          <w:szCs w:val="20"/>
        </w:rPr>
        <w:t xml:space="preserve"> firm value: Evidence from the K</w:t>
      </w:r>
      <w:r w:rsidRPr="00760EB0">
        <w:rPr>
          <w:rFonts w:ascii="Times New Roman" w:eastAsia="맑은 고딕" w:hAnsi="Times New Roman" w:cs="Times New Roman"/>
          <w:noProof/>
          <w:szCs w:val="20"/>
        </w:rPr>
        <w:t xml:space="preserve">orean financial crisis, </w:t>
      </w:r>
      <w:r w:rsidRPr="00760EB0">
        <w:rPr>
          <w:rFonts w:ascii="Times New Roman" w:eastAsia="맑은 고딕" w:hAnsi="Times New Roman" w:cs="Times New Roman"/>
          <w:i/>
          <w:noProof/>
          <w:szCs w:val="20"/>
        </w:rPr>
        <w:t>Journal of Financial economics</w:t>
      </w:r>
      <w:r w:rsidRPr="00760EB0">
        <w:rPr>
          <w:rFonts w:ascii="Times New Roman" w:eastAsia="맑은 고딕" w:hAnsi="Times New Roman" w:cs="Times New Roman"/>
          <w:noProof/>
          <w:szCs w:val="20"/>
        </w:rPr>
        <w:t xml:space="preserve"> 71, 265-313.</w:t>
      </w:r>
      <w:bookmarkEnd w:id="7"/>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8" w:name="_ENREF_8"/>
      <w:r w:rsidRPr="00760EB0">
        <w:rPr>
          <w:rFonts w:ascii="Times New Roman" w:eastAsia="맑은 고딕" w:hAnsi="Times New Roman" w:cs="Times New Roman"/>
          <w:noProof/>
          <w:szCs w:val="20"/>
        </w:rPr>
        <w:t xml:space="preserve">Belenzon, Sharon, and Tomer Berkovitz, 2010, Innovation in business groups, </w:t>
      </w:r>
      <w:r w:rsidRPr="00760EB0">
        <w:rPr>
          <w:rFonts w:ascii="Times New Roman" w:eastAsia="맑은 고딕" w:hAnsi="Times New Roman" w:cs="Times New Roman"/>
          <w:i/>
          <w:noProof/>
          <w:szCs w:val="20"/>
        </w:rPr>
        <w:t>Management Science</w:t>
      </w:r>
      <w:r w:rsidRPr="00760EB0">
        <w:rPr>
          <w:rFonts w:ascii="Times New Roman" w:eastAsia="맑은 고딕" w:hAnsi="Times New Roman" w:cs="Times New Roman"/>
          <w:noProof/>
          <w:szCs w:val="20"/>
        </w:rPr>
        <w:t xml:space="preserve"> 56, 519-535.</w:t>
      </w:r>
      <w:bookmarkEnd w:id="8"/>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9" w:name="_ENREF_9"/>
      <w:r w:rsidRPr="00760EB0">
        <w:rPr>
          <w:rFonts w:ascii="Times New Roman" w:eastAsia="맑은 고딕" w:hAnsi="Times New Roman" w:cs="Times New Roman"/>
          <w:noProof/>
          <w:szCs w:val="20"/>
        </w:rPr>
        <w:t>Belenzon, Sharon, Tomer Berkovitz, and Patrick Bolton, 2009, Intracompa</w:t>
      </w:r>
      <w:r>
        <w:rPr>
          <w:rFonts w:ascii="Times New Roman" w:eastAsia="맑은 고딕" w:hAnsi="Times New Roman" w:cs="Times New Roman"/>
          <w:noProof/>
          <w:szCs w:val="20"/>
        </w:rPr>
        <w:t xml:space="preserve">ny governance and innovation,  working paper, </w:t>
      </w:r>
      <w:r w:rsidRPr="00760EB0">
        <w:rPr>
          <w:rFonts w:ascii="Times New Roman" w:eastAsia="맑은 고딕" w:hAnsi="Times New Roman" w:cs="Times New Roman"/>
          <w:noProof/>
          <w:szCs w:val="20"/>
        </w:rPr>
        <w:t>Natio</w:t>
      </w:r>
      <w:r>
        <w:rPr>
          <w:rFonts w:ascii="Times New Roman" w:eastAsia="맑은 고딕" w:hAnsi="Times New Roman" w:cs="Times New Roman"/>
          <w:noProof/>
          <w:szCs w:val="20"/>
        </w:rPr>
        <w:t>nal Bureau of Economic Research</w:t>
      </w:r>
      <w:r w:rsidRPr="00760EB0">
        <w:rPr>
          <w:rFonts w:ascii="Times New Roman" w:eastAsia="맑은 고딕" w:hAnsi="Times New Roman" w:cs="Times New Roman"/>
          <w:noProof/>
          <w:szCs w:val="20"/>
        </w:rPr>
        <w:t>.</w:t>
      </w:r>
      <w:bookmarkEnd w:id="9"/>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0" w:name="_ENREF_10"/>
      <w:r w:rsidRPr="00760EB0">
        <w:rPr>
          <w:rFonts w:ascii="Times New Roman" w:eastAsia="맑은 고딕" w:hAnsi="Times New Roman" w:cs="Times New Roman"/>
          <w:noProof/>
          <w:szCs w:val="20"/>
        </w:rPr>
        <w:t xml:space="preserve">Bolton, Patrick, and David S Scharfstein, 1990, A theory of predation based on agency problems in financial contracting, </w:t>
      </w:r>
      <w:r w:rsidRPr="00760EB0">
        <w:rPr>
          <w:rFonts w:ascii="Times New Roman" w:eastAsia="맑은 고딕" w:hAnsi="Times New Roman" w:cs="Times New Roman"/>
          <w:i/>
          <w:noProof/>
          <w:szCs w:val="20"/>
        </w:rPr>
        <w:t>The American Economic Review</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80, </w:t>
      </w:r>
      <w:r w:rsidRPr="00760EB0">
        <w:rPr>
          <w:rFonts w:ascii="Times New Roman" w:eastAsia="맑은 고딕" w:hAnsi="Times New Roman" w:cs="Times New Roman"/>
          <w:noProof/>
          <w:szCs w:val="20"/>
        </w:rPr>
        <w:t>93-106.</w:t>
      </w:r>
      <w:bookmarkEnd w:id="10"/>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1" w:name="_ENREF_11"/>
      <w:r w:rsidRPr="00760EB0">
        <w:rPr>
          <w:rFonts w:ascii="Times New Roman" w:eastAsia="맑은 고딕" w:hAnsi="Times New Roman" w:cs="Times New Roman"/>
          <w:noProof/>
          <w:szCs w:val="20"/>
        </w:rPr>
        <w:t xml:space="preserve">Boutin, Xavier, Giacinta Cestone, Chiara Fumagalli, Giovanni Pica, and Nicolas Serrano-Velarde, 2013, The deep-pocket effect of internal capital markets, </w:t>
      </w:r>
      <w:r w:rsidRPr="00760EB0">
        <w:rPr>
          <w:rFonts w:ascii="Times New Roman" w:eastAsia="맑은 고딕" w:hAnsi="Times New Roman" w:cs="Times New Roman"/>
          <w:i/>
          <w:noProof/>
          <w:szCs w:val="20"/>
        </w:rPr>
        <w:t>Journal of Financial Economics</w:t>
      </w:r>
      <w:r w:rsidRPr="00760EB0">
        <w:rPr>
          <w:rFonts w:ascii="Times New Roman" w:eastAsia="맑은 고딕" w:hAnsi="Times New Roman" w:cs="Times New Roman"/>
          <w:noProof/>
          <w:szCs w:val="20"/>
        </w:rPr>
        <w:t xml:space="preserve"> 109, 122-145.</w:t>
      </w:r>
      <w:bookmarkEnd w:id="11"/>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2" w:name="_ENREF_12"/>
      <w:r w:rsidRPr="00760EB0">
        <w:rPr>
          <w:rFonts w:ascii="Times New Roman" w:eastAsia="맑은 고딕" w:hAnsi="Times New Roman" w:cs="Times New Roman"/>
          <w:noProof/>
          <w:szCs w:val="20"/>
        </w:rPr>
        <w:t>Braun, Matias, and Borja Larrain, 2005, Finance and the business cycle: International, inter</w:t>
      </w:r>
      <w:r w:rsidRPr="00760EB0">
        <w:rPr>
          <w:rFonts w:ascii="Cambria Math" w:eastAsia="맑은 고딕" w:hAnsi="Cambria Math" w:cs="Cambria Math"/>
          <w:noProof/>
          <w:szCs w:val="20"/>
        </w:rPr>
        <w:t>‐</w:t>
      </w:r>
      <w:r w:rsidRPr="00760EB0">
        <w:rPr>
          <w:rFonts w:ascii="Times New Roman" w:eastAsia="맑은 고딕" w:hAnsi="Times New Roman" w:cs="Times New Roman"/>
          <w:noProof/>
          <w:szCs w:val="20"/>
        </w:rPr>
        <w:t xml:space="preserve">industry evidence,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60, 1097-1128.</w:t>
      </w:r>
      <w:bookmarkEnd w:id="12"/>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3" w:name="_ENREF_13"/>
      <w:r w:rsidRPr="00760EB0">
        <w:rPr>
          <w:rFonts w:ascii="Times New Roman" w:eastAsia="맑은 고딕" w:hAnsi="Times New Roman" w:cs="Times New Roman"/>
          <w:noProof/>
          <w:szCs w:val="20"/>
        </w:rPr>
        <w:t xml:space="preserve">Campbell, John Y, Jens Hilscher, and Jan Szilagyi, 2008, In search of distress risk,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63, 2899-2939.</w:t>
      </w:r>
      <w:bookmarkEnd w:id="13"/>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4" w:name="_ENREF_14"/>
      <w:r w:rsidRPr="00760EB0">
        <w:rPr>
          <w:rFonts w:ascii="Times New Roman" w:eastAsia="맑은 고딕" w:hAnsi="Times New Roman" w:cs="Times New Roman"/>
          <w:noProof/>
          <w:szCs w:val="20"/>
        </w:rPr>
        <w:t xml:space="preserve">Cestone, Giacinta, and Chiara Fumagalli, 2005, The strategic impact of resource flexibility in business groups, </w:t>
      </w:r>
      <w:r w:rsidRPr="00760EB0">
        <w:rPr>
          <w:rFonts w:ascii="Times New Roman" w:eastAsia="맑은 고딕" w:hAnsi="Times New Roman" w:cs="Times New Roman"/>
          <w:i/>
          <w:noProof/>
          <w:szCs w:val="20"/>
        </w:rPr>
        <w:t>RAND Journal of Economics</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36, </w:t>
      </w:r>
      <w:r w:rsidRPr="00760EB0">
        <w:rPr>
          <w:rFonts w:ascii="Times New Roman" w:eastAsia="맑은 고딕" w:hAnsi="Times New Roman" w:cs="Times New Roman"/>
          <w:noProof/>
          <w:szCs w:val="20"/>
        </w:rPr>
        <w:t>193-214.</w:t>
      </w:r>
      <w:bookmarkEnd w:id="14"/>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5" w:name="_ENREF_15"/>
      <w:r w:rsidRPr="00760EB0">
        <w:rPr>
          <w:rFonts w:ascii="Times New Roman" w:eastAsia="맑은 고딕" w:hAnsi="Times New Roman" w:cs="Times New Roman"/>
          <w:noProof/>
          <w:szCs w:val="20"/>
        </w:rPr>
        <w:t xml:space="preserve">Chi, Jianxin Daniel, and Xunhua Su, 2015, Product market threats and the value of corporate cash holdings, </w:t>
      </w:r>
      <w:r w:rsidRPr="00760EB0">
        <w:rPr>
          <w:rFonts w:ascii="Times New Roman" w:eastAsia="맑은 고딕" w:hAnsi="Times New Roman" w:cs="Times New Roman"/>
          <w:i/>
          <w:noProof/>
          <w:szCs w:val="20"/>
        </w:rPr>
        <w:t>Financial Management</w:t>
      </w:r>
      <w:r w:rsidRPr="00C66717">
        <w:rPr>
          <w:rFonts w:ascii="Times New Roman" w:eastAsia="맑은 고딕" w:hAnsi="Times New Roman" w:cs="Times New Roman"/>
          <w:noProof/>
          <w:szCs w:val="20"/>
        </w:rPr>
        <w:t>, forthcoming</w:t>
      </w:r>
      <w:r w:rsidRPr="00760EB0">
        <w:rPr>
          <w:rFonts w:ascii="Times New Roman" w:eastAsia="맑은 고딕" w:hAnsi="Times New Roman" w:cs="Times New Roman"/>
          <w:noProof/>
          <w:szCs w:val="20"/>
        </w:rPr>
        <w:t>.</w:t>
      </w:r>
      <w:bookmarkEnd w:id="15"/>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6" w:name="_ENREF_16"/>
      <w:r w:rsidRPr="00760EB0">
        <w:rPr>
          <w:rFonts w:ascii="Times New Roman" w:eastAsia="맑은 고딕" w:hAnsi="Times New Roman" w:cs="Times New Roman"/>
          <w:noProof/>
          <w:szCs w:val="20"/>
        </w:rPr>
        <w:t xml:space="preserve">Chiu, Wan-Chien, Juan Ignacio Peña, and Chih-Wei Wang, 2015, Industry characteristics and financial risk </w:t>
      </w:r>
      <w:r w:rsidRPr="00760EB0">
        <w:rPr>
          <w:rFonts w:ascii="Times New Roman" w:eastAsia="맑은 고딕" w:hAnsi="Times New Roman" w:cs="Times New Roman"/>
          <w:noProof/>
          <w:szCs w:val="20"/>
        </w:rPr>
        <w:lastRenderedPageBreak/>
        <w:t xml:space="preserve">contagion, </w:t>
      </w:r>
      <w:r w:rsidRPr="00760EB0">
        <w:rPr>
          <w:rFonts w:ascii="Times New Roman" w:eastAsia="맑은 고딕" w:hAnsi="Times New Roman" w:cs="Times New Roman"/>
          <w:i/>
          <w:noProof/>
          <w:szCs w:val="20"/>
        </w:rPr>
        <w:t>Journal of Banking &amp; Finance</w:t>
      </w:r>
      <w:r w:rsidRPr="00760EB0">
        <w:rPr>
          <w:rFonts w:ascii="Times New Roman" w:eastAsia="맑은 고딕" w:hAnsi="Times New Roman" w:cs="Times New Roman"/>
          <w:noProof/>
          <w:szCs w:val="20"/>
        </w:rPr>
        <w:t xml:space="preserve"> 50, 411-427.</w:t>
      </w:r>
      <w:bookmarkEnd w:id="16"/>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7" w:name="_ENREF_17"/>
      <w:r w:rsidRPr="00760EB0">
        <w:rPr>
          <w:rFonts w:ascii="Times New Roman" w:eastAsia="맑은 고딕" w:hAnsi="Times New Roman" w:cs="Times New Roman"/>
          <w:noProof/>
          <w:szCs w:val="20"/>
        </w:rPr>
        <w:t xml:space="preserve">Eberhart, Allan, William Maxwell, and Akhtar Siddique, 2008, A reexamination of the tradeoff between the future benefit and riskiness of r&amp;d increases, </w:t>
      </w:r>
      <w:r w:rsidRPr="00760EB0">
        <w:rPr>
          <w:rFonts w:ascii="Times New Roman" w:eastAsia="맑은 고딕" w:hAnsi="Times New Roman" w:cs="Times New Roman"/>
          <w:i/>
          <w:noProof/>
          <w:szCs w:val="20"/>
        </w:rPr>
        <w:t>Journal of Accounting Research</w:t>
      </w:r>
      <w:r w:rsidRPr="00760EB0">
        <w:rPr>
          <w:rFonts w:ascii="Times New Roman" w:eastAsia="맑은 고딕" w:hAnsi="Times New Roman" w:cs="Times New Roman"/>
          <w:noProof/>
          <w:szCs w:val="20"/>
        </w:rPr>
        <w:t xml:space="preserve"> 46, 27-52.</w:t>
      </w:r>
      <w:bookmarkEnd w:id="17"/>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8" w:name="_ENREF_18"/>
      <w:r w:rsidRPr="00760EB0">
        <w:rPr>
          <w:rFonts w:ascii="Times New Roman" w:eastAsia="맑은 고딕" w:hAnsi="Times New Roman" w:cs="Times New Roman"/>
          <w:noProof/>
          <w:szCs w:val="20"/>
        </w:rPr>
        <w:t xml:space="preserve">Elton, Edwin J, Martin J Gruber, Deepak Agrawal, and Christopher Mann, 2001, Explaining the rate spread on corporate bonds,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56, 247-277.</w:t>
      </w:r>
      <w:bookmarkEnd w:id="18"/>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19" w:name="_ENREF_19"/>
      <w:r w:rsidRPr="00760EB0">
        <w:rPr>
          <w:rFonts w:ascii="Times New Roman" w:eastAsia="맑은 고딕" w:hAnsi="Times New Roman" w:cs="Times New Roman"/>
          <w:noProof/>
          <w:szCs w:val="20"/>
        </w:rPr>
        <w:t xml:space="preserve">Faure-Grimaud, Antoine, and Roman Inderst, 2005, Conglomerate entrenchment under optimal financial contracting, </w:t>
      </w:r>
      <w:r w:rsidRPr="00760EB0">
        <w:rPr>
          <w:rFonts w:ascii="Times New Roman" w:eastAsia="맑은 고딕" w:hAnsi="Times New Roman" w:cs="Times New Roman"/>
          <w:i/>
          <w:noProof/>
          <w:szCs w:val="20"/>
        </w:rPr>
        <w:t xml:space="preserve">The American </w:t>
      </w:r>
      <w:r>
        <w:rPr>
          <w:rFonts w:ascii="Times New Roman" w:eastAsia="맑은 고딕" w:hAnsi="Times New Roman" w:cs="Times New Roman"/>
          <w:i/>
          <w:noProof/>
          <w:szCs w:val="20"/>
        </w:rPr>
        <w:t>E</w:t>
      </w:r>
      <w:r w:rsidRPr="00760EB0">
        <w:rPr>
          <w:rFonts w:ascii="Times New Roman" w:eastAsia="맑은 고딕" w:hAnsi="Times New Roman" w:cs="Times New Roman"/>
          <w:i/>
          <w:noProof/>
          <w:szCs w:val="20"/>
        </w:rPr>
        <w:t xml:space="preserve">conomic </w:t>
      </w:r>
      <w:r>
        <w:rPr>
          <w:rFonts w:ascii="Times New Roman" w:eastAsia="맑은 고딕" w:hAnsi="Times New Roman" w:cs="Times New Roman"/>
          <w:i/>
          <w:noProof/>
          <w:szCs w:val="20"/>
        </w:rPr>
        <w:t>R</w:t>
      </w:r>
      <w:r w:rsidRPr="00760EB0">
        <w:rPr>
          <w:rFonts w:ascii="Times New Roman" w:eastAsia="맑은 고딕" w:hAnsi="Times New Roman" w:cs="Times New Roman"/>
          <w:i/>
          <w:noProof/>
          <w:szCs w:val="20"/>
        </w:rPr>
        <w:t>eview</w:t>
      </w:r>
      <w:r w:rsidRPr="00760EB0">
        <w:rPr>
          <w:rFonts w:ascii="Times New Roman" w:eastAsia="맑은 고딕" w:hAnsi="Times New Roman" w:cs="Times New Roman"/>
          <w:noProof/>
          <w:szCs w:val="20"/>
        </w:rPr>
        <w:t xml:space="preserve"> 95, 850-861.</w:t>
      </w:r>
      <w:bookmarkEnd w:id="19"/>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0" w:name="_ENREF_20"/>
      <w:r w:rsidRPr="00760EB0">
        <w:rPr>
          <w:rFonts w:ascii="Times New Roman" w:eastAsia="맑은 고딕" w:hAnsi="Times New Roman" w:cs="Times New Roman"/>
          <w:noProof/>
          <w:szCs w:val="20"/>
        </w:rPr>
        <w:t xml:space="preserve">Hann, Rebecca N, Maria Ogneva, and Oguzhan Ozbas, 2013, Corporate diversification and the cost of capital, </w:t>
      </w:r>
      <w:r w:rsidRPr="00760EB0">
        <w:rPr>
          <w:rFonts w:ascii="Times New Roman" w:eastAsia="맑은 고딕" w:hAnsi="Times New Roman" w:cs="Times New Roman"/>
          <w:i/>
          <w:noProof/>
          <w:szCs w:val="20"/>
        </w:rPr>
        <w:t xml:space="preserve">The journal of </w:t>
      </w:r>
      <w:r>
        <w:rPr>
          <w:rFonts w:ascii="Times New Roman" w:eastAsia="맑은 고딕" w:hAnsi="Times New Roman" w:cs="Times New Roman"/>
          <w:i/>
          <w:noProof/>
          <w:szCs w:val="20"/>
        </w:rPr>
        <w:t>F</w:t>
      </w:r>
      <w:r w:rsidRPr="00760EB0">
        <w:rPr>
          <w:rFonts w:ascii="Times New Roman" w:eastAsia="맑은 고딕" w:hAnsi="Times New Roman" w:cs="Times New Roman"/>
          <w:i/>
          <w:noProof/>
          <w:szCs w:val="20"/>
        </w:rPr>
        <w:t>inance</w:t>
      </w:r>
      <w:r w:rsidRPr="00760EB0">
        <w:rPr>
          <w:rFonts w:ascii="Times New Roman" w:eastAsia="맑은 고딕" w:hAnsi="Times New Roman" w:cs="Times New Roman"/>
          <w:noProof/>
          <w:szCs w:val="20"/>
        </w:rPr>
        <w:t xml:space="preserve"> 68, 1961-1999.</w:t>
      </w:r>
      <w:bookmarkEnd w:id="20"/>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1" w:name="_ENREF_21"/>
      <w:r w:rsidRPr="00760EB0">
        <w:rPr>
          <w:rFonts w:ascii="Times New Roman" w:eastAsia="맑은 고딕" w:hAnsi="Times New Roman" w:cs="Times New Roman"/>
          <w:noProof/>
          <w:szCs w:val="20"/>
        </w:rPr>
        <w:t xml:space="preserve">Huang, Hsing-Hua, and Han-Hsing Lee, 2013, Product market competition and credit risk, </w:t>
      </w:r>
      <w:r w:rsidRPr="00760EB0">
        <w:rPr>
          <w:rFonts w:ascii="Times New Roman" w:eastAsia="맑은 고딕" w:hAnsi="Times New Roman" w:cs="Times New Roman"/>
          <w:i/>
          <w:noProof/>
          <w:szCs w:val="20"/>
        </w:rPr>
        <w:t>Journal of Banking &amp; Finance</w:t>
      </w:r>
      <w:r w:rsidRPr="00760EB0">
        <w:rPr>
          <w:rFonts w:ascii="Times New Roman" w:eastAsia="맑은 고딕" w:hAnsi="Times New Roman" w:cs="Times New Roman"/>
          <w:noProof/>
          <w:szCs w:val="20"/>
        </w:rPr>
        <w:t xml:space="preserve"> 37, 324-340.</w:t>
      </w:r>
      <w:bookmarkEnd w:id="21"/>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2" w:name="_ENREF_22"/>
      <w:r w:rsidRPr="00760EB0">
        <w:rPr>
          <w:rFonts w:ascii="Times New Roman" w:eastAsia="맑은 고딕" w:hAnsi="Times New Roman" w:cs="Times New Roman"/>
          <w:noProof/>
          <w:szCs w:val="20"/>
        </w:rPr>
        <w:t xml:space="preserve">Jandik, Tomas, and Anil K Makhija, 2005, Can diversification create value? Evidence from the electric utility industry, </w:t>
      </w:r>
      <w:r w:rsidRPr="00760EB0">
        <w:rPr>
          <w:rFonts w:ascii="Times New Roman" w:eastAsia="맑은 고딕" w:hAnsi="Times New Roman" w:cs="Times New Roman"/>
          <w:i/>
          <w:noProof/>
          <w:szCs w:val="20"/>
        </w:rPr>
        <w:t>Financial Management</w:t>
      </w:r>
      <w:r w:rsidRPr="00760EB0">
        <w:rPr>
          <w:rFonts w:ascii="Times New Roman" w:eastAsia="맑은 고딕" w:hAnsi="Times New Roman" w:cs="Times New Roman"/>
          <w:noProof/>
          <w:szCs w:val="20"/>
        </w:rPr>
        <w:t xml:space="preserve"> 34, 61-93.</w:t>
      </w:r>
      <w:bookmarkEnd w:id="22"/>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3" w:name="_ENREF_23"/>
      <w:r w:rsidRPr="00760EB0">
        <w:rPr>
          <w:rFonts w:ascii="Times New Roman" w:eastAsia="맑은 고딕" w:hAnsi="Times New Roman" w:cs="Times New Roman"/>
          <w:noProof/>
          <w:szCs w:val="20"/>
        </w:rPr>
        <w:t xml:space="preserve">Khanna, Naveen, and Sheri Tice, 2001, The bright side of internal capital markets,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56, 1489-1528.</w:t>
      </w:r>
      <w:bookmarkEnd w:id="23"/>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4" w:name="_ENREF_24"/>
      <w:r w:rsidRPr="00760EB0">
        <w:rPr>
          <w:rFonts w:ascii="Times New Roman" w:eastAsia="맑은 고딕" w:hAnsi="Times New Roman" w:cs="Times New Roman"/>
          <w:noProof/>
          <w:szCs w:val="20"/>
        </w:rPr>
        <w:t>Khanna, Tarun, and Yishay Yafeh, 2005, Business groups an</w:t>
      </w:r>
      <w:r>
        <w:rPr>
          <w:rFonts w:ascii="Times New Roman" w:eastAsia="맑은 고딕" w:hAnsi="Times New Roman" w:cs="Times New Roman"/>
          <w:noProof/>
          <w:szCs w:val="20"/>
        </w:rPr>
        <w:t>d risk sharing around the world</w:t>
      </w:r>
      <w:r w:rsidRPr="00760EB0">
        <w:rPr>
          <w:rFonts w:ascii="Times New Roman" w:eastAsia="맑은 고딕" w:hAnsi="Times New Roman" w:cs="Times New Roman"/>
          <w:noProof/>
          <w:szCs w:val="20"/>
        </w:rPr>
        <w:t xml:space="preserve">, </w:t>
      </w:r>
      <w:r w:rsidRPr="00760EB0">
        <w:rPr>
          <w:rFonts w:ascii="Times New Roman" w:eastAsia="맑은 고딕" w:hAnsi="Times New Roman" w:cs="Times New Roman"/>
          <w:i/>
          <w:noProof/>
          <w:szCs w:val="20"/>
        </w:rPr>
        <w:t>The Journal of Business</w:t>
      </w:r>
      <w:r w:rsidRPr="00760EB0">
        <w:rPr>
          <w:rFonts w:ascii="Times New Roman" w:eastAsia="맑은 고딕" w:hAnsi="Times New Roman" w:cs="Times New Roman"/>
          <w:noProof/>
          <w:szCs w:val="20"/>
        </w:rPr>
        <w:t xml:space="preserve"> 78, 301-340.</w:t>
      </w:r>
      <w:bookmarkEnd w:id="24"/>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5" w:name="_ENREF_25"/>
      <w:r w:rsidRPr="00760EB0">
        <w:rPr>
          <w:rFonts w:ascii="Times New Roman" w:eastAsia="맑은 고딕" w:hAnsi="Times New Roman" w:cs="Times New Roman"/>
          <w:noProof/>
          <w:szCs w:val="20"/>
        </w:rPr>
        <w:t xml:space="preserve">Khanna, Tarun, and Yishay Yafeh, 2007, Business groups in emerging markets: Paragons or parasites?, </w:t>
      </w:r>
      <w:r w:rsidRPr="00760EB0">
        <w:rPr>
          <w:rFonts w:ascii="Times New Roman" w:eastAsia="맑은 고딕" w:hAnsi="Times New Roman" w:cs="Times New Roman"/>
          <w:i/>
          <w:noProof/>
          <w:szCs w:val="20"/>
        </w:rPr>
        <w:t>Journal of Economic Literature</w:t>
      </w:r>
      <w:r w:rsidRPr="00760EB0">
        <w:rPr>
          <w:rFonts w:ascii="Times New Roman" w:eastAsia="맑은 고딕" w:hAnsi="Times New Roman" w:cs="Times New Roman"/>
          <w:noProof/>
          <w:szCs w:val="20"/>
        </w:rPr>
        <w:t xml:space="preserve"> 45, 331-372.</w:t>
      </w:r>
      <w:bookmarkEnd w:id="25"/>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6" w:name="_ENREF_26"/>
      <w:r w:rsidRPr="00760EB0">
        <w:rPr>
          <w:rFonts w:ascii="Times New Roman" w:eastAsia="맑은 고딕" w:hAnsi="Times New Roman" w:cs="Times New Roman"/>
          <w:noProof/>
          <w:szCs w:val="20"/>
        </w:rPr>
        <w:t xml:space="preserve">Kim, Jeong-Bon, Byron Y Song, and Liandong Zhang, 2011, Internal control weakness and bank loan contracting: Evidence from sox section 404 disclosures, </w:t>
      </w:r>
      <w:r w:rsidRPr="00760EB0">
        <w:rPr>
          <w:rFonts w:ascii="Times New Roman" w:eastAsia="맑은 고딕" w:hAnsi="Times New Roman" w:cs="Times New Roman"/>
          <w:i/>
          <w:noProof/>
          <w:szCs w:val="20"/>
        </w:rPr>
        <w:t>The Accounting Review</w:t>
      </w:r>
      <w:r w:rsidRPr="00760EB0">
        <w:rPr>
          <w:rFonts w:ascii="Times New Roman" w:eastAsia="맑은 고딕" w:hAnsi="Times New Roman" w:cs="Times New Roman"/>
          <w:noProof/>
          <w:szCs w:val="20"/>
        </w:rPr>
        <w:t xml:space="preserve"> 86, 1157-1188.</w:t>
      </w:r>
      <w:bookmarkEnd w:id="26"/>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7" w:name="_ENREF_27"/>
      <w:r w:rsidRPr="00760EB0">
        <w:rPr>
          <w:rFonts w:ascii="Times New Roman" w:eastAsia="맑은 고딕" w:hAnsi="Times New Roman" w:cs="Times New Roman"/>
          <w:noProof/>
          <w:szCs w:val="20"/>
        </w:rPr>
        <w:t>Kim, Woochan, Youngjae Lim, and Taeyoon Sung, 2007, Group control motive as a determinant of ownership structure in busines</w:t>
      </w:r>
      <w:r>
        <w:rPr>
          <w:rFonts w:ascii="Times New Roman" w:eastAsia="맑은 고딕" w:hAnsi="Times New Roman" w:cs="Times New Roman"/>
          <w:noProof/>
          <w:szCs w:val="20"/>
        </w:rPr>
        <w:t>s conglomerates: Evidence from Korea’s C</w:t>
      </w:r>
      <w:r w:rsidRPr="00760EB0">
        <w:rPr>
          <w:rFonts w:ascii="Times New Roman" w:eastAsia="맑은 고딕" w:hAnsi="Times New Roman" w:cs="Times New Roman"/>
          <w:noProof/>
          <w:szCs w:val="20"/>
        </w:rPr>
        <w:t xml:space="preserve">haebols, </w:t>
      </w:r>
      <w:r w:rsidRPr="00760EB0">
        <w:rPr>
          <w:rFonts w:ascii="Times New Roman" w:eastAsia="맑은 고딕" w:hAnsi="Times New Roman" w:cs="Times New Roman"/>
          <w:i/>
          <w:noProof/>
          <w:szCs w:val="20"/>
        </w:rPr>
        <w:t>Pacific-Basin Finance Journal</w:t>
      </w:r>
      <w:r w:rsidRPr="00760EB0">
        <w:rPr>
          <w:rFonts w:ascii="Times New Roman" w:eastAsia="맑은 고딕" w:hAnsi="Times New Roman" w:cs="Times New Roman"/>
          <w:noProof/>
          <w:szCs w:val="20"/>
        </w:rPr>
        <w:t xml:space="preserve"> 15, 213-252.</w:t>
      </w:r>
      <w:bookmarkEnd w:id="27"/>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8" w:name="_ENREF_28"/>
      <w:r w:rsidRPr="00760EB0">
        <w:rPr>
          <w:rFonts w:ascii="Times New Roman" w:eastAsia="맑은 고딕" w:hAnsi="Times New Roman" w:cs="Times New Roman"/>
          <w:noProof/>
          <w:szCs w:val="20"/>
        </w:rPr>
        <w:t>Lee, Inro, and Dongcheol Kim, 2015, An evaluation of bankruptcy prediction models using accoun</w:t>
      </w:r>
      <w:r>
        <w:rPr>
          <w:rFonts w:ascii="Times New Roman" w:eastAsia="맑은 고딕" w:hAnsi="Times New Roman" w:cs="Times New Roman"/>
          <w:noProof/>
          <w:szCs w:val="20"/>
        </w:rPr>
        <w:t>ting and market indormation in K</w:t>
      </w:r>
      <w:r w:rsidRPr="00760EB0">
        <w:rPr>
          <w:rFonts w:ascii="Times New Roman" w:eastAsia="맑은 고딕" w:hAnsi="Times New Roman" w:cs="Times New Roman"/>
          <w:noProof/>
          <w:szCs w:val="20"/>
        </w:rPr>
        <w:t xml:space="preserve">orea, </w:t>
      </w:r>
      <w:r w:rsidRPr="00760EB0">
        <w:rPr>
          <w:rFonts w:ascii="Times New Roman" w:eastAsia="맑은 고딕" w:hAnsi="Times New Roman" w:cs="Times New Roman"/>
          <w:i/>
          <w:noProof/>
          <w:szCs w:val="20"/>
        </w:rPr>
        <w:t>Asian Review of Financial Research</w:t>
      </w:r>
      <w:r w:rsidRPr="00760EB0">
        <w:rPr>
          <w:rFonts w:ascii="Times New Roman" w:eastAsia="맑은 고딕" w:hAnsi="Times New Roman" w:cs="Times New Roman"/>
          <w:noProof/>
          <w:szCs w:val="20"/>
        </w:rPr>
        <w:t xml:space="preserve"> 28, 2048-2087.</w:t>
      </w:r>
      <w:bookmarkEnd w:id="28"/>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29" w:name="_ENREF_29"/>
      <w:r w:rsidRPr="00760EB0">
        <w:rPr>
          <w:rFonts w:ascii="Times New Roman" w:eastAsia="맑은 고딕" w:hAnsi="Times New Roman" w:cs="Times New Roman"/>
          <w:noProof/>
          <w:szCs w:val="20"/>
        </w:rPr>
        <w:t>Lee, Sangwoo, Kwangwoo Park, and Hyun-Han Shin, 2009, Disappearing internal capital markets: Evidence from diversified busine</w:t>
      </w:r>
      <w:r>
        <w:rPr>
          <w:rFonts w:ascii="Times New Roman" w:eastAsia="맑은 고딕" w:hAnsi="Times New Roman" w:cs="Times New Roman"/>
          <w:noProof/>
          <w:szCs w:val="20"/>
        </w:rPr>
        <w:t>ss groups in K</w:t>
      </w:r>
      <w:r w:rsidRPr="00760EB0">
        <w:rPr>
          <w:rFonts w:ascii="Times New Roman" w:eastAsia="맑은 고딕" w:hAnsi="Times New Roman" w:cs="Times New Roman"/>
          <w:noProof/>
          <w:szCs w:val="20"/>
        </w:rPr>
        <w:t xml:space="preserve">orea, </w:t>
      </w:r>
      <w:r w:rsidRPr="00760EB0">
        <w:rPr>
          <w:rFonts w:ascii="Times New Roman" w:eastAsia="맑은 고딕" w:hAnsi="Times New Roman" w:cs="Times New Roman"/>
          <w:i/>
          <w:noProof/>
          <w:szCs w:val="20"/>
        </w:rPr>
        <w:t>Journal of Banking &amp; Finance</w:t>
      </w:r>
      <w:r w:rsidRPr="00760EB0">
        <w:rPr>
          <w:rFonts w:ascii="Times New Roman" w:eastAsia="맑은 고딕" w:hAnsi="Times New Roman" w:cs="Times New Roman"/>
          <w:noProof/>
          <w:szCs w:val="20"/>
        </w:rPr>
        <w:t xml:space="preserve"> 33, 326-334.</w:t>
      </w:r>
      <w:bookmarkEnd w:id="29"/>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0" w:name="_ENREF_30"/>
      <w:r w:rsidRPr="00760EB0">
        <w:rPr>
          <w:rFonts w:ascii="Times New Roman" w:eastAsia="맑은 고딕" w:hAnsi="Times New Roman" w:cs="Times New Roman"/>
          <w:noProof/>
          <w:szCs w:val="20"/>
        </w:rPr>
        <w:t xml:space="preserve">Lewellen, Wilbur G, 1971, A pure financial rationale for the conglomerate merger, </w:t>
      </w:r>
      <w:r w:rsidRPr="00760EB0">
        <w:rPr>
          <w:rFonts w:ascii="Times New Roman" w:eastAsia="맑은 고딕" w:hAnsi="Times New Roman" w:cs="Times New Roman"/>
          <w:i/>
          <w:noProof/>
          <w:szCs w:val="20"/>
        </w:rPr>
        <w:t>Journal of Finance</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26, </w:t>
      </w:r>
      <w:r w:rsidRPr="00760EB0">
        <w:rPr>
          <w:rFonts w:ascii="Times New Roman" w:eastAsia="맑은 고딕" w:hAnsi="Times New Roman" w:cs="Times New Roman"/>
          <w:noProof/>
          <w:szCs w:val="20"/>
        </w:rPr>
        <w:t>521-537.</w:t>
      </w:r>
      <w:bookmarkEnd w:id="30"/>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1" w:name="_ENREF_31"/>
      <w:r w:rsidRPr="00760EB0">
        <w:rPr>
          <w:rFonts w:ascii="Times New Roman" w:eastAsia="맑은 고딕" w:hAnsi="Times New Roman" w:cs="Times New Roman"/>
          <w:noProof/>
          <w:szCs w:val="20"/>
        </w:rPr>
        <w:t>Liu, Yunxiao, Woochan Kim, and Taeyoon Sung, 2016, Do business groups harm capital allocation efficiency outside the business group?</w:t>
      </w:r>
      <w:bookmarkEnd w:id="31"/>
      <w:r>
        <w:rPr>
          <w:rFonts w:ascii="Times New Roman" w:eastAsia="맑은 고딕" w:hAnsi="Times New Roman" w:cs="Times New Roman"/>
          <w:noProof/>
          <w:szCs w:val="20"/>
        </w:rPr>
        <w:t>, Woring paper, Korea University.</w:t>
      </w:r>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2" w:name="_ENREF_32"/>
      <w:r w:rsidRPr="00760EB0">
        <w:rPr>
          <w:rFonts w:ascii="Times New Roman" w:eastAsia="맑은 고딕" w:hAnsi="Times New Roman" w:cs="Times New Roman"/>
          <w:noProof/>
          <w:szCs w:val="20"/>
        </w:rPr>
        <w:t xml:space="preserve">Maksimovic, Vojislav, and Gordon Phillips, 2002, Do conglomerate firms allocate resources inefficiently across </w:t>
      </w:r>
      <w:r w:rsidRPr="00760EB0">
        <w:rPr>
          <w:rFonts w:ascii="Times New Roman" w:eastAsia="맑은 고딕" w:hAnsi="Times New Roman" w:cs="Times New Roman"/>
          <w:noProof/>
          <w:szCs w:val="20"/>
        </w:rPr>
        <w:lastRenderedPageBreak/>
        <w:t xml:space="preserve">industries? Theory and evidence, </w:t>
      </w:r>
      <w:r w:rsidRPr="00760EB0">
        <w:rPr>
          <w:rFonts w:ascii="Times New Roman" w:eastAsia="맑은 고딕" w:hAnsi="Times New Roman" w:cs="Times New Roman"/>
          <w:i/>
          <w:noProof/>
          <w:szCs w:val="20"/>
        </w:rPr>
        <w:t>Journal of Finance</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57, </w:t>
      </w:r>
      <w:r w:rsidRPr="00760EB0">
        <w:rPr>
          <w:rFonts w:ascii="Times New Roman" w:eastAsia="맑은 고딕" w:hAnsi="Times New Roman" w:cs="Times New Roman"/>
          <w:noProof/>
          <w:szCs w:val="20"/>
        </w:rPr>
        <w:t>721-767.</w:t>
      </w:r>
      <w:bookmarkEnd w:id="32"/>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3" w:name="_ENREF_33"/>
      <w:r w:rsidRPr="00760EB0">
        <w:rPr>
          <w:rFonts w:ascii="Times New Roman" w:eastAsia="맑은 고딕" w:hAnsi="Times New Roman" w:cs="Times New Roman"/>
          <w:noProof/>
          <w:szCs w:val="20"/>
        </w:rPr>
        <w:t xml:space="preserve">Mathews, Richmond D, and David T Robinson, 2008, Market structure, internal capital markets, and the boundaries of the firm,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63, 2703-2736.</w:t>
      </w:r>
      <w:bookmarkEnd w:id="33"/>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4" w:name="_ENREF_34"/>
      <w:r w:rsidRPr="00760EB0">
        <w:rPr>
          <w:rFonts w:ascii="Times New Roman" w:eastAsia="맑은 고딕" w:hAnsi="Times New Roman" w:cs="Times New Roman"/>
          <w:noProof/>
          <w:szCs w:val="20"/>
        </w:rPr>
        <w:t xml:space="preserve">Matsusaka, John G, and Vikram Nanda, 2002, Internal capital markets and corporate refocusing, </w:t>
      </w:r>
      <w:r w:rsidRPr="00760EB0">
        <w:rPr>
          <w:rFonts w:ascii="Times New Roman" w:eastAsia="맑은 고딕" w:hAnsi="Times New Roman" w:cs="Times New Roman"/>
          <w:i/>
          <w:noProof/>
          <w:szCs w:val="20"/>
        </w:rPr>
        <w:t>Journal of Financial Intermediation</w:t>
      </w:r>
      <w:r w:rsidRPr="00760EB0">
        <w:rPr>
          <w:rFonts w:ascii="Times New Roman" w:eastAsia="맑은 고딕" w:hAnsi="Times New Roman" w:cs="Times New Roman"/>
          <w:noProof/>
          <w:szCs w:val="20"/>
        </w:rPr>
        <w:t xml:space="preserve"> 11, 176-211.</w:t>
      </w:r>
      <w:bookmarkEnd w:id="34"/>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5" w:name="_ENREF_35"/>
      <w:r w:rsidRPr="00760EB0">
        <w:rPr>
          <w:rFonts w:ascii="Times New Roman" w:eastAsia="맑은 고딕" w:hAnsi="Times New Roman" w:cs="Times New Roman"/>
          <w:noProof/>
          <w:szCs w:val="20"/>
        </w:rPr>
        <w:t xml:space="preserve">Ohlson, James A, 1980, Financial ratios and the probabilistic prediction of bankruptcy, </w:t>
      </w:r>
      <w:r w:rsidRPr="00760EB0">
        <w:rPr>
          <w:rFonts w:ascii="Times New Roman" w:eastAsia="맑은 고딕" w:hAnsi="Times New Roman" w:cs="Times New Roman"/>
          <w:i/>
          <w:noProof/>
          <w:szCs w:val="20"/>
        </w:rPr>
        <w:t>Journal of accounting research</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18, </w:t>
      </w:r>
      <w:r w:rsidRPr="00760EB0">
        <w:rPr>
          <w:rFonts w:ascii="Times New Roman" w:eastAsia="맑은 고딕" w:hAnsi="Times New Roman" w:cs="Times New Roman"/>
          <w:noProof/>
          <w:szCs w:val="20"/>
        </w:rPr>
        <w:t>109-131.</w:t>
      </w:r>
      <w:bookmarkEnd w:id="35"/>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6" w:name="_ENREF_36"/>
      <w:r w:rsidRPr="00760EB0">
        <w:rPr>
          <w:rFonts w:ascii="Times New Roman" w:eastAsia="맑은 고딕" w:hAnsi="Times New Roman" w:cs="Times New Roman"/>
          <w:noProof/>
          <w:szCs w:val="20"/>
        </w:rPr>
        <w:t xml:space="preserve">Ozbas, Oguzhan, and David S Scharfstein, 2009, Evidence on the dark side of internal capital markets, </w:t>
      </w:r>
      <w:r w:rsidRPr="00760EB0">
        <w:rPr>
          <w:rFonts w:ascii="Times New Roman" w:eastAsia="맑은 고딕" w:hAnsi="Times New Roman" w:cs="Times New Roman"/>
          <w:i/>
          <w:noProof/>
          <w:szCs w:val="20"/>
        </w:rPr>
        <w:t>Review of Financial Studies</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23, 581-599</w:t>
      </w:r>
      <w:r w:rsidRPr="00760EB0">
        <w:rPr>
          <w:rFonts w:ascii="Times New Roman" w:eastAsia="맑은 고딕" w:hAnsi="Times New Roman" w:cs="Times New Roman"/>
          <w:noProof/>
          <w:szCs w:val="20"/>
        </w:rPr>
        <w:t>.</w:t>
      </w:r>
      <w:bookmarkEnd w:id="36"/>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7" w:name="_ENREF_37"/>
      <w:r w:rsidRPr="00760EB0">
        <w:rPr>
          <w:rFonts w:ascii="Times New Roman" w:eastAsia="맑은 고딕" w:hAnsi="Times New Roman" w:cs="Times New Roman"/>
          <w:noProof/>
          <w:szCs w:val="20"/>
        </w:rPr>
        <w:t xml:space="preserve">Parker, Susan, Gary F Peters, and Howard F Turetsky, 2002, Corporate governance and corporate failure: A survival analysis, </w:t>
      </w:r>
      <w:r>
        <w:rPr>
          <w:rFonts w:ascii="Times New Roman" w:eastAsia="맑은 고딕" w:hAnsi="Times New Roman" w:cs="Times New Roman"/>
          <w:i/>
          <w:noProof/>
          <w:szCs w:val="20"/>
        </w:rPr>
        <w:t>Corporate Governance: The International Journal of B</w:t>
      </w:r>
      <w:r w:rsidRPr="00760EB0">
        <w:rPr>
          <w:rFonts w:ascii="Times New Roman" w:eastAsia="맑은 고딕" w:hAnsi="Times New Roman" w:cs="Times New Roman"/>
          <w:i/>
          <w:noProof/>
          <w:szCs w:val="20"/>
        </w:rPr>
        <w:t xml:space="preserve">usiness in </w:t>
      </w:r>
      <w:r>
        <w:rPr>
          <w:rFonts w:ascii="Times New Roman" w:eastAsia="맑은 고딕" w:hAnsi="Times New Roman" w:cs="Times New Roman"/>
          <w:i/>
          <w:noProof/>
          <w:szCs w:val="20"/>
        </w:rPr>
        <w:t>S</w:t>
      </w:r>
      <w:r w:rsidRPr="00760EB0">
        <w:rPr>
          <w:rFonts w:ascii="Times New Roman" w:eastAsia="맑은 고딕" w:hAnsi="Times New Roman" w:cs="Times New Roman"/>
          <w:i/>
          <w:noProof/>
          <w:szCs w:val="20"/>
        </w:rPr>
        <w:t>ociety</w:t>
      </w:r>
      <w:r w:rsidRPr="00760EB0">
        <w:rPr>
          <w:rFonts w:ascii="Times New Roman" w:eastAsia="맑은 고딕" w:hAnsi="Times New Roman" w:cs="Times New Roman"/>
          <w:noProof/>
          <w:szCs w:val="20"/>
        </w:rPr>
        <w:t xml:space="preserve"> 2, 4-12.</w:t>
      </w:r>
      <w:bookmarkEnd w:id="37"/>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8" w:name="_ENREF_38"/>
      <w:r w:rsidRPr="00760EB0">
        <w:rPr>
          <w:rFonts w:ascii="Times New Roman" w:eastAsia="맑은 고딕" w:hAnsi="Times New Roman" w:cs="Times New Roman"/>
          <w:noProof/>
          <w:szCs w:val="20"/>
        </w:rPr>
        <w:t xml:space="preserve">Rajan, Raghuram, Henri Servaes, and Luigi Zingales, 2000, The cost of diversity: The diversification discount and inefficient investment, </w:t>
      </w:r>
      <w:r w:rsidRPr="00760EB0">
        <w:rPr>
          <w:rFonts w:ascii="Times New Roman" w:eastAsia="맑은 고딕" w:hAnsi="Times New Roman" w:cs="Times New Roman"/>
          <w:i/>
          <w:noProof/>
          <w:szCs w:val="20"/>
        </w:rPr>
        <w:t>THE J</w:t>
      </w:r>
      <w:r>
        <w:rPr>
          <w:rFonts w:ascii="Times New Roman" w:eastAsia="맑은 고딕" w:hAnsi="Times New Roman" w:cs="Times New Roman"/>
          <w:i/>
          <w:noProof/>
          <w:szCs w:val="20"/>
        </w:rPr>
        <w:t>ournal of</w:t>
      </w:r>
      <w:r w:rsidRPr="00760EB0">
        <w:rPr>
          <w:rFonts w:ascii="Times New Roman" w:eastAsia="맑은 고딕" w:hAnsi="Times New Roman" w:cs="Times New Roman"/>
          <w:i/>
          <w:noProof/>
          <w:szCs w:val="20"/>
        </w:rPr>
        <w:t xml:space="preserve"> F</w:t>
      </w:r>
      <w:r>
        <w:rPr>
          <w:rFonts w:ascii="Times New Roman" w:eastAsia="맑은 고딕" w:hAnsi="Times New Roman" w:cs="Times New Roman"/>
          <w:i/>
          <w:noProof/>
          <w:szCs w:val="20"/>
        </w:rPr>
        <w:t>inance</w:t>
      </w:r>
      <w:r w:rsidRPr="00760EB0">
        <w:rPr>
          <w:rFonts w:ascii="Times New Roman" w:eastAsia="맑은 고딕" w:hAnsi="Times New Roman" w:cs="Times New Roman"/>
          <w:noProof/>
          <w:szCs w:val="20"/>
        </w:rPr>
        <w:t xml:space="preserve"> 55</w:t>
      </w:r>
      <w:r>
        <w:rPr>
          <w:rFonts w:ascii="Times New Roman" w:eastAsia="맑은 고딕" w:hAnsi="Times New Roman" w:cs="Times New Roman"/>
          <w:noProof/>
          <w:szCs w:val="20"/>
        </w:rPr>
        <w:t>, 35-80</w:t>
      </w:r>
      <w:r w:rsidRPr="00760EB0">
        <w:rPr>
          <w:rFonts w:ascii="Times New Roman" w:eastAsia="맑은 고딕" w:hAnsi="Times New Roman" w:cs="Times New Roman"/>
          <w:noProof/>
          <w:szCs w:val="20"/>
        </w:rPr>
        <w:t>.</w:t>
      </w:r>
      <w:bookmarkEnd w:id="38"/>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39" w:name="_ENREF_39"/>
      <w:r w:rsidRPr="00760EB0">
        <w:rPr>
          <w:rFonts w:ascii="Times New Roman" w:eastAsia="맑은 고딕" w:hAnsi="Times New Roman" w:cs="Times New Roman"/>
          <w:noProof/>
          <w:szCs w:val="20"/>
        </w:rPr>
        <w:t>Scharfstein, David S, 1998, The dark side of internal capital markets ii: Evidence fr</w:t>
      </w:r>
      <w:r>
        <w:rPr>
          <w:rFonts w:ascii="Times New Roman" w:eastAsia="맑은 고딕" w:hAnsi="Times New Roman" w:cs="Times New Roman"/>
          <w:noProof/>
          <w:szCs w:val="20"/>
        </w:rPr>
        <w:t xml:space="preserve">om diversified conglomerates, Working paper, </w:t>
      </w:r>
      <w:r w:rsidRPr="00760EB0">
        <w:rPr>
          <w:rFonts w:ascii="Times New Roman" w:eastAsia="맑은 고딕" w:hAnsi="Times New Roman" w:cs="Times New Roman"/>
          <w:noProof/>
          <w:szCs w:val="20"/>
        </w:rPr>
        <w:t>Natio</w:t>
      </w:r>
      <w:r>
        <w:rPr>
          <w:rFonts w:ascii="Times New Roman" w:eastAsia="맑은 고딕" w:hAnsi="Times New Roman" w:cs="Times New Roman"/>
          <w:noProof/>
          <w:szCs w:val="20"/>
        </w:rPr>
        <w:t>nal Bureau of Economic Research</w:t>
      </w:r>
      <w:r w:rsidRPr="00760EB0">
        <w:rPr>
          <w:rFonts w:ascii="Times New Roman" w:eastAsia="맑은 고딕" w:hAnsi="Times New Roman" w:cs="Times New Roman"/>
          <w:noProof/>
          <w:szCs w:val="20"/>
        </w:rPr>
        <w:t>.</w:t>
      </w:r>
      <w:bookmarkEnd w:id="39"/>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0" w:name="_ENREF_40"/>
      <w:r w:rsidRPr="00760EB0">
        <w:rPr>
          <w:rFonts w:ascii="Times New Roman" w:eastAsia="맑은 고딕" w:hAnsi="Times New Roman" w:cs="Times New Roman"/>
          <w:noProof/>
          <w:szCs w:val="20"/>
        </w:rPr>
        <w:t>Scharfstein, David S, and Jeremy C Stein, 2000, The dark side of internal capital markets: Divisional rent</w:t>
      </w:r>
      <w:r w:rsidRPr="00760EB0">
        <w:rPr>
          <w:rFonts w:ascii="Cambria Math" w:eastAsia="맑은 고딕" w:hAnsi="Cambria Math" w:cs="Cambria Math"/>
          <w:noProof/>
          <w:szCs w:val="20"/>
        </w:rPr>
        <w:t>‐</w:t>
      </w:r>
      <w:r w:rsidRPr="00760EB0">
        <w:rPr>
          <w:rFonts w:ascii="Times New Roman" w:eastAsia="맑은 고딕" w:hAnsi="Times New Roman" w:cs="Times New Roman"/>
          <w:noProof/>
          <w:szCs w:val="20"/>
        </w:rPr>
        <w:t xml:space="preserve">seeking and inefficient investment, </w:t>
      </w:r>
      <w:r w:rsidRPr="00760EB0">
        <w:rPr>
          <w:rFonts w:ascii="Times New Roman" w:eastAsia="맑은 고딕" w:hAnsi="Times New Roman" w:cs="Times New Roman"/>
          <w:i/>
          <w:noProof/>
          <w:szCs w:val="20"/>
        </w:rPr>
        <w:t>The Journal of Finance</w:t>
      </w:r>
      <w:r w:rsidRPr="00760EB0">
        <w:rPr>
          <w:rFonts w:ascii="Times New Roman" w:eastAsia="맑은 고딕" w:hAnsi="Times New Roman" w:cs="Times New Roman"/>
          <w:noProof/>
          <w:szCs w:val="20"/>
        </w:rPr>
        <w:t xml:space="preserve"> 55, 2537-2564.</w:t>
      </w:r>
      <w:bookmarkEnd w:id="40"/>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1" w:name="_ENREF_41"/>
      <w:r w:rsidRPr="00760EB0">
        <w:rPr>
          <w:rFonts w:ascii="Times New Roman" w:eastAsia="맑은 고딕" w:hAnsi="Times New Roman" w:cs="Times New Roman"/>
          <w:noProof/>
          <w:szCs w:val="20"/>
        </w:rPr>
        <w:t xml:space="preserve">Shin, Hyun-Han, and Young S Park, 1999, Financing constraints and internal </w:t>
      </w:r>
      <w:r>
        <w:rPr>
          <w:rFonts w:ascii="Times New Roman" w:eastAsia="맑은 고딕" w:hAnsi="Times New Roman" w:cs="Times New Roman"/>
          <w:noProof/>
          <w:szCs w:val="20"/>
        </w:rPr>
        <w:t>capital markets: Evidence from K</w:t>
      </w:r>
      <w:r w:rsidRPr="00760EB0">
        <w:rPr>
          <w:rFonts w:ascii="Times New Roman" w:eastAsia="맑은 고딕" w:hAnsi="Times New Roman" w:cs="Times New Roman"/>
          <w:noProof/>
          <w:szCs w:val="20"/>
        </w:rPr>
        <w:t>orean</w:t>
      </w:r>
      <w:r>
        <w:rPr>
          <w:rFonts w:ascii="Times New Roman" w:eastAsia="맑은 고딕" w:hAnsi="Times New Roman" w:cs="Times New Roman"/>
          <w:noProof/>
          <w:szCs w:val="20"/>
        </w:rPr>
        <w:t xml:space="preserve"> C</w:t>
      </w:r>
      <w:r w:rsidRPr="00760EB0">
        <w:rPr>
          <w:rFonts w:ascii="Times New Roman" w:eastAsia="맑은 고딕" w:hAnsi="Times New Roman" w:cs="Times New Roman"/>
          <w:noProof/>
          <w:szCs w:val="20"/>
        </w:rPr>
        <w:t xml:space="preserve">haebols', </w:t>
      </w:r>
      <w:r>
        <w:rPr>
          <w:rFonts w:ascii="Times New Roman" w:eastAsia="맑은 고딕" w:hAnsi="Times New Roman" w:cs="Times New Roman"/>
          <w:i/>
          <w:noProof/>
          <w:szCs w:val="20"/>
        </w:rPr>
        <w:t>Journal of Corporate F</w:t>
      </w:r>
      <w:r w:rsidRPr="00760EB0">
        <w:rPr>
          <w:rFonts w:ascii="Times New Roman" w:eastAsia="맑은 고딕" w:hAnsi="Times New Roman" w:cs="Times New Roman"/>
          <w:i/>
          <w:noProof/>
          <w:szCs w:val="20"/>
        </w:rPr>
        <w:t>inance</w:t>
      </w:r>
      <w:r w:rsidRPr="00760EB0">
        <w:rPr>
          <w:rFonts w:ascii="Times New Roman" w:eastAsia="맑은 고딕" w:hAnsi="Times New Roman" w:cs="Times New Roman"/>
          <w:noProof/>
          <w:szCs w:val="20"/>
        </w:rPr>
        <w:t xml:space="preserve"> 5, 169-191.</w:t>
      </w:r>
      <w:bookmarkEnd w:id="41"/>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2" w:name="_ENREF_42"/>
      <w:r w:rsidRPr="00760EB0">
        <w:rPr>
          <w:rFonts w:ascii="Times New Roman" w:eastAsia="맑은 고딕" w:hAnsi="Times New Roman" w:cs="Times New Roman"/>
          <w:noProof/>
          <w:szCs w:val="20"/>
        </w:rPr>
        <w:t xml:space="preserve">Shin, Hyun-Han, and René M Stulz, 1998, Are internal capital markets efficient?, </w:t>
      </w:r>
      <w:r w:rsidRPr="00760EB0">
        <w:rPr>
          <w:rFonts w:ascii="Times New Roman" w:eastAsia="맑은 고딕" w:hAnsi="Times New Roman" w:cs="Times New Roman"/>
          <w:i/>
          <w:noProof/>
          <w:szCs w:val="20"/>
        </w:rPr>
        <w:t>Quarterly Journal of Economics</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113, </w:t>
      </w:r>
      <w:r w:rsidRPr="00760EB0">
        <w:rPr>
          <w:rFonts w:ascii="Times New Roman" w:eastAsia="맑은 고딕" w:hAnsi="Times New Roman" w:cs="Times New Roman"/>
          <w:noProof/>
          <w:szCs w:val="20"/>
        </w:rPr>
        <w:t>531-552.</w:t>
      </w:r>
      <w:bookmarkEnd w:id="42"/>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3" w:name="_ENREF_43"/>
      <w:r w:rsidRPr="00760EB0">
        <w:rPr>
          <w:rFonts w:ascii="Times New Roman" w:eastAsia="맑은 고딕" w:hAnsi="Times New Roman" w:cs="Times New Roman"/>
          <w:noProof/>
          <w:szCs w:val="20"/>
        </w:rPr>
        <w:t>Shumway, Tyler, 2001, Forecasting bankruptcy more ac</w:t>
      </w:r>
      <w:r>
        <w:rPr>
          <w:rFonts w:ascii="Times New Roman" w:eastAsia="맑은 고딕" w:hAnsi="Times New Roman" w:cs="Times New Roman"/>
          <w:noProof/>
          <w:szCs w:val="20"/>
        </w:rPr>
        <w:t>curately: A simple hazard model</w:t>
      </w:r>
      <w:r w:rsidRPr="00760EB0">
        <w:rPr>
          <w:rFonts w:ascii="Times New Roman" w:eastAsia="맑은 고딕" w:hAnsi="Times New Roman" w:cs="Times New Roman"/>
          <w:noProof/>
          <w:szCs w:val="20"/>
        </w:rPr>
        <w:t xml:space="preserve">, </w:t>
      </w:r>
      <w:r w:rsidRPr="00760EB0">
        <w:rPr>
          <w:rFonts w:ascii="Times New Roman" w:eastAsia="맑은 고딕" w:hAnsi="Times New Roman" w:cs="Times New Roman"/>
          <w:i/>
          <w:noProof/>
          <w:szCs w:val="20"/>
        </w:rPr>
        <w:t>The Journal of Business</w:t>
      </w:r>
      <w:r w:rsidRPr="00760EB0">
        <w:rPr>
          <w:rFonts w:ascii="Times New Roman" w:eastAsia="맑은 고딕" w:hAnsi="Times New Roman" w:cs="Times New Roman"/>
          <w:noProof/>
          <w:szCs w:val="20"/>
        </w:rPr>
        <w:t xml:space="preserve"> 74, 101-124.</w:t>
      </w:r>
      <w:bookmarkEnd w:id="43"/>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4" w:name="_ENREF_44"/>
      <w:r w:rsidRPr="00760EB0">
        <w:rPr>
          <w:rFonts w:ascii="Times New Roman" w:eastAsia="맑은 고딕" w:hAnsi="Times New Roman" w:cs="Times New Roman"/>
          <w:noProof/>
          <w:szCs w:val="20"/>
        </w:rPr>
        <w:t xml:space="preserve">Stein, Jeremy C, 1997, Internal capital markets and the competition for corporate resources, </w:t>
      </w:r>
      <w:r w:rsidRPr="00760EB0">
        <w:rPr>
          <w:rFonts w:ascii="Times New Roman" w:eastAsia="맑은 고딕" w:hAnsi="Times New Roman" w:cs="Times New Roman"/>
          <w:i/>
          <w:noProof/>
          <w:szCs w:val="20"/>
        </w:rPr>
        <w:t>Journal of Finance</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52, </w:t>
      </w:r>
      <w:r w:rsidRPr="00760EB0">
        <w:rPr>
          <w:rFonts w:ascii="Times New Roman" w:eastAsia="맑은 고딕" w:hAnsi="Times New Roman" w:cs="Times New Roman"/>
          <w:noProof/>
          <w:szCs w:val="20"/>
        </w:rPr>
        <w:t>111-133.</w:t>
      </w:r>
      <w:bookmarkEnd w:id="44"/>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5" w:name="_ENREF_45"/>
      <w:r w:rsidRPr="00760EB0">
        <w:rPr>
          <w:rFonts w:ascii="Times New Roman" w:eastAsia="맑은 고딕" w:hAnsi="Times New Roman" w:cs="Times New Roman"/>
          <w:noProof/>
          <w:szCs w:val="20"/>
        </w:rPr>
        <w:t xml:space="preserve">Tykvova, Tereza, and Mariela Borell, 2012, Do private equity owners increase risk of financial distress and bankruptcy?, </w:t>
      </w:r>
      <w:r w:rsidRPr="00760EB0">
        <w:rPr>
          <w:rFonts w:ascii="Times New Roman" w:eastAsia="맑은 고딕" w:hAnsi="Times New Roman" w:cs="Times New Roman"/>
          <w:i/>
          <w:noProof/>
          <w:szCs w:val="20"/>
        </w:rPr>
        <w:t>Journal of Corporate Finance</w:t>
      </w:r>
      <w:r w:rsidRPr="00760EB0">
        <w:rPr>
          <w:rFonts w:ascii="Times New Roman" w:eastAsia="맑은 고딕" w:hAnsi="Times New Roman" w:cs="Times New Roman"/>
          <w:noProof/>
          <w:szCs w:val="20"/>
        </w:rPr>
        <w:t xml:space="preserve"> 18, 138-150.</w:t>
      </w:r>
      <w:bookmarkEnd w:id="45"/>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6" w:name="_ENREF_46"/>
      <w:r w:rsidRPr="00760EB0">
        <w:rPr>
          <w:rFonts w:ascii="Times New Roman" w:eastAsia="맑은 고딕" w:hAnsi="Times New Roman" w:cs="Times New Roman"/>
          <w:noProof/>
          <w:szCs w:val="20"/>
        </w:rPr>
        <w:t xml:space="preserve">Uhrig-Homburg, Marliese, 2005, Cash-flow shortage as an endogenous bankruptcy reason, </w:t>
      </w:r>
      <w:r w:rsidRPr="00760EB0">
        <w:rPr>
          <w:rFonts w:ascii="Times New Roman" w:eastAsia="맑은 고딕" w:hAnsi="Times New Roman" w:cs="Times New Roman"/>
          <w:i/>
          <w:noProof/>
          <w:szCs w:val="20"/>
        </w:rPr>
        <w:t>Journal of Banking &amp; Finance</w:t>
      </w:r>
      <w:r w:rsidRPr="00760EB0">
        <w:rPr>
          <w:rFonts w:ascii="Times New Roman" w:eastAsia="맑은 고딕" w:hAnsi="Times New Roman" w:cs="Times New Roman"/>
          <w:noProof/>
          <w:szCs w:val="20"/>
        </w:rPr>
        <w:t xml:space="preserve"> 29, 1509-1534.</w:t>
      </w:r>
      <w:bookmarkEnd w:id="46"/>
    </w:p>
    <w:p w:rsidR="003D699C" w:rsidRPr="00760EB0" w:rsidRDefault="003D699C" w:rsidP="003D699C">
      <w:pPr>
        <w:wordWrap/>
        <w:spacing w:after="0" w:line="420" w:lineRule="auto"/>
        <w:ind w:left="720" w:hanging="720"/>
        <w:rPr>
          <w:rFonts w:ascii="Times New Roman" w:eastAsia="맑은 고딕" w:hAnsi="Times New Roman" w:cs="Times New Roman"/>
          <w:noProof/>
          <w:szCs w:val="20"/>
        </w:rPr>
      </w:pPr>
      <w:bookmarkStart w:id="47" w:name="_ENREF_47"/>
      <w:r w:rsidRPr="00760EB0">
        <w:rPr>
          <w:rFonts w:ascii="Times New Roman" w:eastAsia="맑은 고딕" w:hAnsi="Times New Roman" w:cs="Times New Roman"/>
          <w:noProof/>
          <w:szCs w:val="20"/>
        </w:rPr>
        <w:t xml:space="preserve">Valta, Philip, 2012, Competition and the cost of debt, </w:t>
      </w:r>
      <w:r w:rsidRPr="00760EB0">
        <w:rPr>
          <w:rFonts w:ascii="Times New Roman" w:eastAsia="맑은 고딕" w:hAnsi="Times New Roman" w:cs="Times New Roman"/>
          <w:i/>
          <w:noProof/>
          <w:szCs w:val="20"/>
        </w:rPr>
        <w:t>Journal of Financial Economics</w:t>
      </w:r>
      <w:r w:rsidRPr="00760EB0">
        <w:rPr>
          <w:rFonts w:ascii="Times New Roman" w:eastAsia="맑은 고딕" w:hAnsi="Times New Roman" w:cs="Times New Roman"/>
          <w:noProof/>
          <w:szCs w:val="20"/>
        </w:rPr>
        <w:t xml:space="preserve"> 105, 661-682.</w:t>
      </w:r>
      <w:bookmarkEnd w:id="47"/>
    </w:p>
    <w:p w:rsidR="003D699C" w:rsidRPr="00760EB0" w:rsidRDefault="003D699C" w:rsidP="003D699C">
      <w:pPr>
        <w:wordWrap/>
        <w:spacing w:line="420" w:lineRule="auto"/>
        <w:ind w:left="720" w:hanging="720"/>
        <w:rPr>
          <w:rFonts w:ascii="Times New Roman" w:eastAsia="맑은 고딕" w:hAnsi="Times New Roman" w:cs="Times New Roman"/>
          <w:noProof/>
          <w:szCs w:val="20"/>
        </w:rPr>
      </w:pPr>
      <w:bookmarkStart w:id="48" w:name="_ENREF_48"/>
      <w:r w:rsidRPr="00760EB0">
        <w:rPr>
          <w:rFonts w:ascii="Times New Roman" w:eastAsia="맑은 고딕" w:hAnsi="Times New Roman" w:cs="Times New Roman"/>
          <w:noProof/>
          <w:szCs w:val="20"/>
        </w:rPr>
        <w:t xml:space="preserve">Zmijewski, Mark E, 1984, Methodological issues related to the estimation of financial distress prediction models, </w:t>
      </w:r>
      <w:r w:rsidRPr="00760EB0">
        <w:rPr>
          <w:rFonts w:ascii="Times New Roman" w:eastAsia="맑은 고딕" w:hAnsi="Times New Roman" w:cs="Times New Roman"/>
          <w:i/>
          <w:noProof/>
          <w:szCs w:val="20"/>
        </w:rPr>
        <w:t>Journal of Accounting research</w:t>
      </w:r>
      <w:r w:rsidRPr="00760EB0">
        <w:rPr>
          <w:rFonts w:ascii="Times New Roman" w:eastAsia="맑은 고딕" w:hAnsi="Times New Roman" w:cs="Times New Roman"/>
          <w:noProof/>
          <w:szCs w:val="20"/>
        </w:rPr>
        <w:t xml:space="preserve"> </w:t>
      </w:r>
      <w:r>
        <w:rPr>
          <w:rFonts w:ascii="Times New Roman" w:eastAsia="맑은 고딕" w:hAnsi="Times New Roman" w:cs="Times New Roman"/>
          <w:noProof/>
          <w:szCs w:val="20"/>
        </w:rPr>
        <w:t xml:space="preserve">22, </w:t>
      </w:r>
      <w:r w:rsidRPr="00760EB0">
        <w:rPr>
          <w:rFonts w:ascii="Times New Roman" w:eastAsia="맑은 고딕" w:hAnsi="Times New Roman" w:cs="Times New Roman"/>
          <w:noProof/>
          <w:szCs w:val="20"/>
        </w:rPr>
        <w:t>59-82.</w:t>
      </w:r>
      <w:bookmarkEnd w:id="48"/>
    </w:p>
    <w:p w:rsidR="003D699C" w:rsidRDefault="00886B05">
      <w:pPr>
        <w:widowControl/>
        <w:wordWrap/>
        <w:autoSpaceDE/>
        <w:autoSpaceDN/>
        <w:rPr>
          <w:rFonts w:ascii="Times New Roman" w:hAnsi="Times New Roman" w:cs="Times New Roman"/>
        </w:rPr>
      </w:pPr>
      <w:r w:rsidRPr="00760EB0">
        <w:rPr>
          <w:rFonts w:ascii="Times New Roman" w:hAnsi="Times New Roman" w:cs="Times New Roman"/>
        </w:rPr>
        <w:fldChar w:fldCharType="end"/>
      </w:r>
      <w:r w:rsidR="003D699C">
        <w:rPr>
          <w:rFonts w:ascii="Times New Roman" w:hAnsi="Times New Roman" w:cs="Times New Roman"/>
        </w:rPr>
        <w:br w:type="page"/>
      </w:r>
    </w:p>
    <w:p w:rsidR="003D699C" w:rsidRDefault="003D699C" w:rsidP="003D699C">
      <w:pPr>
        <w:widowControl/>
        <w:wordWrap/>
        <w:autoSpaceDE/>
        <w:autoSpaceDN/>
        <w:rPr>
          <w:rFonts w:ascii="Times New Roman" w:hAnsi="Times New Roman" w:cs="Times New Roman"/>
          <w:szCs w:val="20"/>
        </w:rPr>
        <w:sectPr w:rsidR="003D699C" w:rsidSect="00AD0932">
          <w:pgSz w:w="11906" w:h="16838"/>
          <w:pgMar w:top="1440" w:right="1440" w:bottom="1440" w:left="1440" w:header="720" w:footer="720" w:gutter="0"/>
          <w:pgNumType w:fmt="numberInDash" w:start="1"/>
          <w:cols w:space="720"/>
          <w:docGrid w:linePitch="360"/>
        </w:sectPr>
      </w:pPr>
    </w:p>
    <w:tbl>
      <w:tblPr>
        <w:tblW w:w="5000" w:type="pct"/>
        <w:tblCellMar>
          <w:left w:w="99" w:type="dxa"/>
          <w:right w:w="99" w:type="dxa"/>
        </w:tblCellMar>
        <w:tblLook w:val="04A0"/>
      </w:tblPr>
      <w:tblGrid>
        <w:gridCol w:w="2270"/>
        <w:gridCol w:w="1030"/>
        <w:gridCol w:w="1021"/>
        <w:gridCol w:w="1021"/>
        <w:gridCol w:w="537"/>
        <w:gridCol w:w="1021"/>
        <w:gridCol w:w="1021"/>
        <w:gridCol w:w="1021"/>
        <w:gridCol w:w="537"/>
        <w:gridCol w:w="1021"/>
        <w:gridCol w:w="1021"/>
        <w:gridCol w:w="1021"/>
        <w:gridCol w:w="519"/>
        <w:gridCol w:w="1095"/>
      </w:tblGrid>
      <w:tr w:rsidR="004D53E2" w:rsidRPr="004D53E2" w:rsidTr="004D53E2">
        <w:trPr>
          <w:trHeight w:val="330"/>
        </w:trPr>
        <w:tc>
          <w:tcPr>
            <w:tcW w:w="5000" w:type="pct"/>
            <w:gridSpan w:val="14"/>
            <w:tcBorders>
              <w:top w:val="nil"/>
              <w:left w:val="nil"/>
              <w:bottom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b/>
                <w:color w:val="000000"/>
                <w:kern w:val="0"/>
                <w:sz w:val="18"/>
                <w:szCs w:val="18"/>
              </w:rPr>
            </w:pPr>
            <w:r w:rsidRPr="004D53E2">
              <w:rPr>
                <w:rFonts w:ascii="Times New Roman" w:eastAsia="맑은 고딕" w:hAnsi="Times New Roman" w:cs="Times New Roman"/>
                <w:b/>
                <w:color w:val="000000"/>
                <w:kern w:val="0"/>
                <w:sz w:val="18"/>
                <w:szCs w:val="18"/>
              </w:rPr>
              <w:lastRenderedPageBreak/>
              <w:t>Table 1. Summary Statistics</w:t>
            </w:r>
          </w:p>
        </w:tc>
      </w:tr>
      <w:tr w:rsidR="004D53E2" w:rsidRPr="004D53E2" w:rsidTr="004D53E2">
        <w:trPr>
          <w:trHeight w:val="330"/>
        </w:trPr>
        <w:tc>
          <w:tcPr>
            <w:tcW w:w="5000" w:type="pct"/>
            <w:gridSpan w:val="14"/>
            <w:tcBorders>
              <w:top w:val="nil"/>
              <w:left w:val="nil"/>
              <w:bottom w:val="nil"/>
              <w:right w:val="nil"/>
            </w:tcBorders>
            <w:shd w:val="clear" w:color="auto" w:fill="auto"/>
            <w:noWrap/>
            <w:vAlign w:val="bottom"/>
            <w:hideMark/>
          </w:tcPr>
          <w:p w:rsidR="004D53E2" w:rsidRPr="004D53E2" w:rsidRDefault="004D53E2" w:rsidP="00D01EDF">
            <w:pPr>
              <w:widowControl/>
              <w:wordWrap/>
              <w:autoSpaceDE/>
              <w:autoSpaceDN/>
              <w:spacing w:after="0" w:line="240" w:lineRule="auto"/>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This table reports the summary statistics for the main variables examined in this study. For firm characteristics, in addition to the entire industry (the combination of member and non-member firms), the summary statistics for member firms and non-member firms are reported separately. Also, a student t test is performed to examine whether there is a difference in each of these firm characteristics between the two groups. The results are shown in the last column labeled as “(a) – (b)”. For more detailed variable definition, please refer to Section </w:t>
            </w:r>
            <w:r w:rsidR="00886B05">
              <w:rPr>
                <w:rFonts w:ascii="Times New Roman" w:eastAsia="맑은 고딕" w:hAnsi="Times New Roman" w:cs="Times New Roman"/>
                <w:color w:val="000000"/>
                <w:kern w:val="0"/>
                <w:sz w:val="18"/>
                <w:szCs w:val="18"/>
              </w:rPr>
              <w:fldChar w:fldCharType="begin"/>
            </w:r>
            <w:r w:rsidR="00D01EDF">
              <w:rPr>
                <w:rFonts w:ascii="Times New Roman" w:eastAsia="SimSun" w:hAnsi="Times New Roman" w:cs="Times New Roman"/>
                <w:color w:val="000000"/>
                <w:kern w:val="0"/>
                <w:sz w:val="18"/>
                <w:szCs w:val="18"/>
                <w:lang w:eastAsia="zh-CN"/>
              </w:rPr>
              <w:instrText xml:space="preserve"> </w:instrText>
            </w:r>
            <w:r w:rsidR="00D01EDF">
              <w:rPr>
                <w:rFonts w:ascii="Times New Roman" w:eastAsia="SimSun" w:hAnsi="Times New Roman" w:cs="Times New Roman" w:hint="eastAsia"/>
                <w:color w:val="000000"/>
                <w:kern w:val="0"/>
                <w:sz w:val="18"/>
                <w:szCs w:val="18"/>
                <w:lang w:eastAsia="zh-CN"/>
              </w:rPr>
              <w:instrText>= 3 \* ROMAN</w:instrText>
            </w:r>
            <w:r w:rsidR="00D01EDF">
              <w:rPr>
                <w:rFonts w:ascii="Times New Roman" w:eastAsia="SimSun" w:hAnsi="Times New Roman" w:cs="Times New Roman"/>
                <w:color w:val="000000"/>
                <w:kern w:val="0"/>
                <w:sz w:val="18"/>
                <w:szCs w:val="18"/>
                <w:lang w:eastAsia="zh-CN"/>
              </w:rPr>
              <w:instrText xml:space="preserve"> </w:instrText>
            </w:r>
            <w:r w:rsidR="00886B05">
              <w:rPr>
                <w:rFonts w:ascii="Times New Roman" w:eastAsia="맑은 고딕" w:hAnsi="Times New Roman" w:cs="Times New Roman"/>
                <w:color w:val="000000"/>
                <w:kern w:val="0"/>
                <w:sz w:val="18"/>
                <w:szCs w:val="18"/>
              </w:rPr>
              <w:fldChar w:fldCharType="separate"/>
            </w:r>
            <w:r w:rsidR="00D01EDF">
              <w:rPr>
                <w:rFonts w:ascii="Times New Roman" w:eastAsia="SimSun" w:hAnsi="Times New Roman" w:cs="Times New Roman"/>
                <w:noProof/>
                <w:color w:val="000000"/>
                <w:kern w:val="0"/>
                <w:sz w:val="18"/>
                <w:szCs w:val="18"/>
                <w:lang w:eastAsia="zh-CN"/>
              </w:rPr>
              <w:t>III</w:t>
            </w:r>
            <w:r w:rsidR="00886B05">
              <w:rPr>
                <w:rFonts w:ascii="Times New Roman" w:eastAsia="맑은 고딕" w:hAnsi="Times New Roman" w:cs="Times New Roman"/>
                <w:color w:val="000000"/>
                <w:kern w:val="0"/>
                <w:sz w:val="18"/>
                <w:szCs w:val="18"/>
              </w:rPr>
              <w:fldChar w:fldCharType="end"/>
            </w:r>
            <w:r w:rsidRPr="004D53E2">
              <w:rPr>
                <w:rFonts w:ascii="Times New Roman" w:eastAsia="맑은 고딕" w:hAnsi="Times New Roman" w:cs="Times New Roman"/>
                <w:color w:val="000000"/>
                <w:kern w:val="0"/>
                <w:sz w:val="18"/>
                <w:szCs w:val="18"/>
              </w:rPr>
              <w:t xml:space="preserve">. </w:t>
            </w:r>
            <w:r w:rsidRPr="004D53E2">
              <w:rPr>
                <w:rFonts w:ascii="Times New Roman" w:eastAsia="굴림" w:hAnsi="Times New Roman" w:cs="Times New Roman"/>
                <w:kern w:val="0"/>
                <w:sz w:val="18"/>
                <w:szCs w:val="18"/>
              </w:rPr>
              <w:t>The sample period ranges from 2001 to 2014. All firms belong to the financial industry or the utility industry is excluded from the sample.</w:t>
            </w:r>
          </w:p>
        </w:tc>
      </w:tr>
      <w:tr w:rsidR="004D53E2" w:rsidRPr="004D53E2" w:rsidTr="004D53E2">
        <w:trPr>
          <w:trHeight w:val="330"/>
        </w:trPr>
        <w:tc>
          <w:tcPr>
            <w:tcW w:w="1227" w:type="pct"/>
            <w:gridSpan w:val="2"/>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A: Firm Characteristics</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0"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93"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1086" w:type="pct"/>
            <w:gridSpan w:val="3"/>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Entire Industry</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083" w:type="pct"/>
            <w:gridSpan w:val="3"/>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Member Firms</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083" w:type="pct"/>
            <w:gridSpan w:val="3"/>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Non-member Firms</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r w:rsidR="004D53E2" w:rsidRPr="004D53E2" w:rsidTr="004D53E2">
        <w:trPr>
          <w:trHeight w:val="330"/>
        </w:trPr>
        <w:tc>
          <w:tcPr>
            <w:tcW w:w="86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5"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SD</w:t>
            </w:r>
          </w:p>
        </w:tc>
        <w:tc>
          <w:tcPr>
            <w:tcW w:w="16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 (a)</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SD</w:t>
            </w:r>
          </w:p>
        </w:tc>
        <w:tc>
          <w:tcPr>
            <w:tcW w:w="16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 (b)</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SD</w:t>
            </w:r>
          </w:p>
        </w:tc>
        <w:tc>
          <w:tcPr>
            <w:tcW w:w="160"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9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(a) - (b)</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KL-score</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1.5911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2.3418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0.2575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1.9951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1.6485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2.3386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-1.3910</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(-53.64)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KM-score</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2.9534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2.7464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1.4702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2.3571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3.0171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2.7440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-1.5469</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(50.83)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Size</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9.7522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1.5975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11.7110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2.1504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9.6680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1.5136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2.0430</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(120.00)</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Leverage</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2.7554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12.0798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1.9304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8.0161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2.7909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12.2230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-0.8605</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(-6.39)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Profitability</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0.0151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0.1332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0.0206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0.1158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0.0148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0.1339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0.0057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(3.86)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R&amp;D Intensity</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0.0051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0.0144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8388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0.0043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0.0133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195098</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0.0051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0.0145 </w:t>
            </w: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-0.0008</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(-4.90) </w:t>
            </w:r>
          </w:p>
        </w:tc>
      </w:tr>
      <w:tr w:rsidR="004D53E2" w:rsidRPr="004D53E2" w:rsidTr="004D53E2">
        <w:trPr>
          <w:trHeight w:val="330"/>
        </w:trPr>
        <w:tc>
          <w:tcPr>
            <w:tcW w:w="1227" w:type="pct"/>
            <w:gridSpan w:val="2"/>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B: Industry Characteristics</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0"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93"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SD</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BSDI</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0.0898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0.1179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r w:rsidR="004D53E2" w:rsidRPr="004D53E2" w:rsidTr="004D53E2">
        <w:trPr>
          <w:trHeight w:val="330"/>
        </w:trPr>
        <w:tc>
          <w:tcPr>
            <w:tcW w:w="86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HHI</w:t>
            </w:r>
          </w:p>
        </w:tc>
        <w:tc>
          <w:tcPr>
            <w:tcW w:w="36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0.0849 </w:t>
            </w: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0.1167 </w:t>
            </w: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r w:rsidR="004D53E2" w:rsidRPr="004D53E2" w:rsidTr="004D53E2">
        <w:trPr>
          <w:trHeight w:val="330"/>
        </w:trPr>
        <w:tc>
          <w:tcPr>
            <w:tcW w:w="1227" w:type="pct"/>
            <w:gridSpan w:val="2"/>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c: Economics Characteristics</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6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60"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393"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62"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365"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w:t>
            </w: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SD</w:t>
            </w:r>
          </w:p>
        </w:tc>
        <w:tc>
          <w:tcPr>
            <w:tcW w:w="167"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r w:rsidR="004D53E2" w:rsidRPr="004D53E2" w:rsidTr="004D53E2">
        <w:trPr>
          <w:trHeight w:val="330"/>
        </w:trPr>
        <w:tc>
          <w:tcPr>
            <w:tcW w:w="86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Risk Free Rate</w:t>
            </w:r>
          </w:p>
        </w:tc>
        <w:tc>
          <w:tcPr>
            <w:tcW w:w="365"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203486</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3.8096 </w:t>
            </w: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1.0278 </w:t>
            </w:r>
          </w:p>
        </w:tc>
        <w:tc>
          <w:tcPr>
            <w:tcW w:w="16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6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160"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39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r>
    </w:tbl>
    <w:p w:rsidR="004D53E2" w:rsidRDefault="004D53E2" w:rsidP="003D699C">
      <w:pPr>
        <w:widowControl/>
        <w:wordWrap/>
        <w:autoSpaceDE/>
        <w:autoSpaceDN/>
        <w:rPr>
          <w:rFonts w:ascii="Times New Roman" w:hAnsi="Times New Roman" w:cs="Times New Roman"/>
          <w:szCs w:val="20"/>
        </w:rPr>
        <w:sectPr w:rsidR="004D53E2" w:rsidSect="004D53E2">
          <w:pgSz w:w="16838" w:h="11906" w:orient="landscape"/>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1498"/>
        <w:gridCol w:w="1116"/>
        <w:gridCol w:w="1119"/>
        <w:gridCol w:w="1108"/>
        <w:gridCol w:w="1116"/>
        <w:gridCol w:w="1119"/>
        <w:gridCol w:w="1106"/>
        <w:gridCol w:w="1042"/>
      </w:tblGrid>
      <w:tr w:rsidR="004D53E2" w:rsidRPr="004D53E2" w:rsidTr="004D53E2">
        <w:trPr>
          <w:trHeight w:val="330"/>
        </w:trPr>
        <w:tc>
          <w:tcPr>
            <w:tcW w:w="5000" w:type="pct"/>
            <w:gridSpan w:val="8"/>
            <w:tcBorders>
              <w:left w:val="nil"/>
              <w:right w:val="nil"/>
            </w:tcBorders>
            <w:shd w:val="clear" w:color="auto" w:fill="auto"/>
            <w:noWrap/>
            <w:vAlign w:val="bottom"/>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b/>
                <w:color w:val="000000"/>
                <w:kern w:val="0"/>
                <w:sz w:val="18"/>
                <w:szCs w:val="18"/>
              </w:rPr>
            </w:pPr>
            <w:r w:rsidRPr="004D53E2">
              <w:rPr>
                <w:rFonts w:ascii="Times New Roman" w:eastAsia="맑은 고딕" w:hAnsi="Times New Roman" w:cs="Times New Roman"/>
                <w:b/>
                <w:color w:val="000000"/>
                <w:kern w:val="0"/>
                <w:sz w:val="18"/>
                <w:szCs w:val="18"/>
              </w:rPr>
              <w:lastRenderedPageBreak/>
              <w:t>Table 2. Univariate Test: Business Group Influence and Financial Distress Risk</w:t>
            </w:r>
          </w:p>
        </w:tc>
      </w:tr>
      <w:tr w:rsidR="004D53E2" w:rsidRPr="004D53E2" w:rsidTr="004D53E2">
        <w:trPr>
          <w:trHeight w:val="330"/>
        </w:trPr>
        <w:tc>
          <w:tcPr>
            <w:tcW w:w="5000" w:type="pct"/>
            <w:gridSpan w:val="8"/>
            <w:tcBorders>
              <w:left w:val="nil"/>
              <w:bottom w:val="nil"/>
            </w:tcBorders>
            <w:shd w:val="clear" w:color="auto" w:fill="auto"/>
            <w:noWrap/>
            <w:vAlign w:val="bottom"/>
          </w:tcPr>
          <w:p w:rsidR="004D53E2" w:rsidRPr="004D53E2" w:rsidRDefault="004D53E2" w:rsidP="00D01EDF">
            <w:pPr>
              <w:widowControl/>
              <w:wordWrap/>
              <w:autoSpaceDE/>
              <w:autoSpaceDN/>
              <w:spacing w:after="0" w:line="240" w:lineRule="auto"/>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This table reports results comparing firm level financial distress risk between industries with high (high BSDI) and low (low BSDI) level of business group influence. In defining high (low) BSDI sample, we first identify the median value of BSDI within each year, and industries with BSDI above (below) the median value are referred to as High (Low) BSDI industries. For the high and low BSDI sample, the difference in financial distress risk is examined separately for member firms (Panel A), non-member firms (Panel B), as well as the entire industry (Panel C). Two types of financial distress risk measures are examined: the raw value of KL-score (KM-score) in the first two rows of each Panel; and the industry risk level adjusted Industry Adj. KL (Industry Adj. KM) in the last two rows of each panel. The industry risk level adjusted financial distress risk measure is calculated by subtracting each firm’s raw financial distress risk measures (KL-score and KM-score) with their specific industry medians. A student t test is conducted in the last column to examine whether the financial distress risks between high BSDI and low BSDI sample are the same. For more detailed variable definition, please refer to Section </w:t>
            </w:r>
            <w:r w:rsidR="00886B05">
              <w:rPr>
                <w:rFonts w:ascii="Times New Roman" w:eastAsia="맑은 고딕" w:hAnsi="Times New Roman" w:cs="Times New Roman"/>
                <w:color w:val="000000"/>
                <w:kern w:val="0"/>
                <w:sz w:val="18"/>
                <w:szCs w:val="18"/>
              </w:rPr>
              <w:fldChar w:fldCharType="begin"/>
            </w:r>
            <w:r w:rsidR="00D01EDF">
              <w:rPr>
                <w:rFonts w:ascii="Times New Roman" w:eastAsia="SimSun" w:hAnsi="Times New Roman" w:cs="Times New Roman"/>
                <w:color w:val="000000"/>
                <w:kern w:val="0"/>
                <w:sz w:val="18"/>
                <w:szCs w:val="18"/>
                <w:lang w:eastAsia="zh-CN"/>
              </w:rPr>
              <w:instrText xml:space="preserve"> </w:instrText>
            </w:r>
            <w:r w:rsidR="00D01EDF">
              <w:rPr>
                <w:rFonts w:ascii="Times New Roman" w:eastAsia="SimSun" w:hAnsi="Times New Roman" w:cs="Times New Roman" w:hint="eastAsia"/>
                <w:color w:val="000000"/>
                <w:kern w:val="0"/>
                <w:sz w:val="18"/>
                <w:szCs w:val="18"/>
                <w:lang w:eastAsia="zh-CN"/>
              </w:rPr>
              <w:instrText>= 3 \* ROMAN</w:instrText>
            </w:r>
            <w:r w:rsidR="00D01EDF">
              <w:rPr>
                <w:rFonts w:ascii="Times New Roman" w:eastAsia="SimSun" w:hAnsi="Times New Roman" w:cs="Times New Roman"/>
                <w:color w:val="000000"/>
                <w:kern w:val="0"/>
                <w:sz w:val="18"/>
                <w:szCs w:val="18"/>
                <w:lang w:eastAsia="zh-CN"/>
              </w:rPr>
              <w:instrText xml:space="preserve"> </w:instrText>
            </w:r>
            <w:r w:rsidR="00886B05">
              <w:rPr>
                <w:rFonts w:ascii="Times New Roman" w:eastAsia="맑은 고딕" w:hAnsi="Times New Roman" w:cs="Times New Roman"/>
                <w:color w:val="000000"/>
                <w:kern w:val="0"/>
                <w:sz w:val="18"/>
                <w:szCs w:val="18"/>
              </w:rPr>
              <w:fldChar w:fldCharType="separate"/>
            </w:r>
            <w:r w:rsidR="00D01EDF">
              <w:rPr>
                <w:rFonts w:ascii="Times New Roman" w:eastAsia="SimSun" w:hAnsi="Times New Roman" w:cs="Times New Roman"/>
                <w:noProof/>
                <w:color w:val="000000"/>
                <w:kern w:val="0"/>
                <w:sz w:val="18"/>
                <w:szCs w:val="18"/>
                <w:lang w:eastAsia="zh-CN"/>
              </w:rPr>
              <w:t>III</w:t>
            </w:r>
            <w:r w:rsidR="00886B05">
              <w:rPr>
                <w:rFonts w:ascii="Times New Roman" w:eastAsia="맑은 고딕" w:hAnsi="Times New Roman" w:cs="Times New Roman"/>
                <w:color w:val="000000"/>
                <w:kern w:val="0"/>
                <w:sz w:val="18"/>
                <w:szCs w:val="18"/>
              </w:rPr>
              <w:fldChar w:fldCharType="end"/>
            </w:r>
            <w:r w:rsidRPr="004D53E2">
              <w:rPr>
                <w:rFonts w:ascii="Times New Roman" w:eastAsia="맑은 고딕" w:hAnsi="Times New Roman" w:cs="Times New Roman"/>
                <w:color w:val="000000"/>
                <w:kern w:val="0"/>
                <w:sz w:val="18"/>
                <w:szCs w:val="18"/>
              </w:rPr>
              <w:t xml:space="preserve">. </w:t>
            </w:r>
            <w:r w:rsidRPr="004D53E2">
              <w:rPr>
                <w:rFonts w:ascii="Times New Roman" w:eastAsia="굴림" w:hAnsi="Times New Roman" w:cs="Times New Roman"/>
                <w:kern w:val="0"/>
                <w:sz w:val="18"/>
                <w:szCs w:val="18"/>
              </w:rPr>
              <w:t>The sample period ranges from 2001 to 2014. All firms belong to the financial industry or the utility industry is excluded from the sample.</w:t>
            </w:r>
          </w:p>
        </w:tc>
      </w:tr>
      <w:tr w:rsidR="004D53E2" w:rsidRPr="004D53E2" w:rsidTr="004D53E2">
        <w:trPr>
          <w:trHeight w:val="330"/>
        </w:trPr>
        <w:tc>
          <w:tcPr>
            <w:tcW w:w="811"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206" w:type="pct"/>
            <w:gridSpan w:val="2"/>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High BSDI</w:t>
            </w:r>
          </w:p>
        </w:tc>
        <w:tc>
          <w:tcPr>
            <w:tcW w:w="597"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1206" w:type="pct"/>
            <w:gridSpan w:val="2"/>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Low BSDI</w:t>
            </w:r>
          </w:p>
        </w:tc>
        <w:tc>
          <w:tcPr>
            <w:tcW w:w="596"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83" w:type="pct"/>
            <w:tcBorders>
              <w:top w:val="single" w:sz="4" w:space="0" w:color="auto"/>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600"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 (a)</w:t>
            </w:r>
          </w:p>
        </w:tc>
        <w:tc>
          <w:tcPr>
            <w:tcW w:w="59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N.</w:t>
            </w:r>
          </w:p>
        </w:tc>
        <w:tc>
          <w:tcPr>
            <w:tcW w:w="60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Mean (b)</w:t>
            </w:r>
          </w:p>
        </w:tc>
        <w:tc>
          <w:tcPr>
            <w:tcW w:w="59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7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(a) - (b)</w:t>
            </w:r>
          </w:p>
        </w:tc>
      </w:tr>
      <w:tr w:rsidR="004D53E2" w:rsidRPr="004D53E2" w:rsidTr="004D53E2">
        <w:trPr>
          <w:trHeight w:val="330"/>
        </w:trPr>
        <w:tc>
          <w:tcPr>
            <w:tcW w:w="5000" w:type="pct"/>
            <w:gridSpan w:val="8"/>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A: Member Firm</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KL-score</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5716</w:t>
            </w: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0.0540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2672</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0.6927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-0.6387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(-13.82)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KM-score</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5716</w:t>
            </w: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1.2980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2672</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1.8387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-0.5407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(-9.84)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KL</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5716</w:t>
            </w: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-0.9659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2672</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-0.7597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-0.2062</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(-4.51)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KM</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5716</w:t>
            </w:r>
          </w:p>
        </w:tc>
        <w:tc>
          <w:tcPr>
            <w:tcW w:w="600"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-1.0072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2672</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-0.9019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-0.1053</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0"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7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(-1.87) </w:t>
            </w:r>
          </w:p>
        </w:tc>
      </w:tr>
      <w:tr w:rsidR="004D53E2" w:rsidRPr="004D53E2" w:rsidTr="004D53E2">
        <w:trPr>
          <w:trHeight w:val="330"/>
        </w:trPr>
        <w:tc>
          <w:tcPr>
            <w:tcW w:w="5000" w:type="pct"/>
            <w:gridSpan w:val="8"/>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B: Non-member Firm</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KL-score</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95009</w:t>
            </w: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1.5204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100089</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1.7701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-0.2497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(-23.61)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KM-score</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95009</w:t>
            </w: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2.8941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100089</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3.1338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-0.2397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(-19.30)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KL</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95009</w:t>
            </w: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0.1823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100089</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0.0785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0.1038</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(11.04) </w:t>
            </w:r>
          </w:p>
        </w:tc>
      </w:tr>
      <w:tr w:rsidR="004D53E2" w:rsidRPr="004D53E2" w:rsidTr="004D53E2">
        <w:trPr>
          <w:trHeight w:val="330"/>
        </w:trPr>
        <w:tc>
          <w:tcPr>
            <w:tcW w:w="83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KM</w:t>
            </w: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95009</w:t>
            </w:r>
          </w:p>
        </w:tc>
        <w:tc>
          <w:tcPr>
            <w:tcW w:w="600" w:type="pct"/>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0.1610 </w:t>
            </w:r>
          </w:p>
        </w:tc>
        <w:tc>
          <w:tcPr>
            <w:tcW w:w="59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9"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100089</w:t>
            </w:r>
          </w:p>
        </w:tc>
        <w:tc>
          <w:tcPr>
            <w:tcW w:w="60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0.0354 </w:t>
            </w:r>
          </w:p>
        </w:tc>
        <w:tc>
          <w:tcPr>
            <w:tcW w:w="59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7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0.1256</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3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0"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9"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7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(10.85) </w:t>
            </w:r>
          </w:p>
        </w:tc>
      </w:tr>
      <w:tr w:rsidR="004D53E2" w:rsidRPr="004D53E2" w:rsidTr="004D53E2">
        <w:trPr>
          <w:trHeight w:val="330"/>
        </w:trPr>
        <w:tc>
          <w:tcPr>
            <w:tcW w:w="1" w:type="pct"/>
            <w:gridSpan w:val="8"/>
            <w:tcBorders>
              <w:top w:val="nil"/>
              <w:left w:val="nil"/>
              <w:bottom w:val="nil"/>
              <w:right w:val="nil"/>
            </w:tcBorders>
            <w:shd w:val="clear" w:color="auto" w:fill="auto"/>
            <w:noWrap/>
            <w:vAlign w:val="bottom"/>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Panel C: Entire Industry</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KL-score</w:t>
            </w: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100725</w:t>
            </w: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1.4372 </w:t>
            </w: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102761</w:t>
            </w: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1.7420 </w:t>
            </w: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-0.3049</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(-29.43)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KM-score</w:t>
            </w: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100725</w:t>
            </w: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2.8036 </w:t>
            </w: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102761</w:t>
            </w: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3.1002 </w:t>
            </w: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-0.2966</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(-24.39)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KL</w:t>
            </w: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100725</w:t>
            </w: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0.1171 </w:t>
            </w: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102761</w:t>
            </w: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0.0567 </w:t>
            </w: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0.0604</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(6.55) </w:t>
            </w:r>
          </w:p>
        </w:tc>
      </w:tr>
      <w:tr w:rsidR="004D53E2" w:rsidRPr="004D53E2" w:rsidTr="004D53E2">
        <w:trPr>
          <w:trHeight w:val="330"/>
        </w:trPr>
        <w:tc>
          <w:tcPr>
            <w:tcW w:w="811"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Industry Adj. KM</w:t>
            </w: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100725</w:t>
            </w:r>
          </w:p>
        </w:tc>
        <w:tc>
          <w:tcPr>
            <w:tcW w:w="60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0.0947 </w:t>
            </w:r>
          </w:p>
        </w:tc>
        <w:tc>
          <w:tcPr>
            <w:tcW w:w="597"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602"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102761</w:t>
            </w:r>
          </w:p>
        </w:tc>
        <w:tc>
          <w:tcPr>
            <w:tcW w:w="60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0.0110 </w:t>
            </w:r>
          </w:p>
        </w:tc>
        <w:tc>
          <w:tcPr>
            <w:tcW w:w="59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p>
        </w:tc>
        <w:tc>
          <w:tcPr>
            <w:tcW w:w="58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0.0837</w:t>
            </w:r>
            <w:r w:rsidRPr="004D53E2">
              <w:rPr>
                <w:rFonts w:ascii="Times New Roman" w:eastAsia="굴림" w:hAnsi="Times New Roman" w:cs="Times New Roman"/>
                <w:kern w:val="0"/>
                <w:sz w:val="18"/>
                <w:szCs w:val="18"/>
              </w:rPr>
              <w:t>***</w:t>
            </w:r>
            <w:r w:rsidRPr="004D53E2">
              <w:rPr>
                <w:rFonts w:ascii="Times New Roman" w:eastAsia="맑은 고딕" w:hAnsi="Times New Roman" w:cs="Times New Roman"/>
                <w:color w:val="000000"/>
                <w:kern w:val="0"/>
                <w:sz w:val="18"/>
                <w:szCs w:val="18"/>
              </w:rPr>
              <w:t xml:space="preserve"> </w:t>
            </w:r>
          </w:p>
        </w:tc>
      </w:tr>
      <w:tr w:rsidR="004D53E2" w:rsidRPr="004D53E2" w:rsidTr="004D53E2">
        <w:trPr>
          <w:trHeight w:val="330"/>
        </w:trPr>
        <w:tc>
          <w:tcPr>
            <w:tcW w:w="811"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7"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2"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60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96"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　</w:t>
            </w:r>
          </w:p>
        </w:tc>
        <w:tc>
          <w:tcPr>
            <w:tcW w:w="58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맑은 고딕" w:hAnsi="Times New Roman" w:cs="Times New Roman"/>
                <w:color w:val="000000"/>
                <w:kern w:val="0"/>
                <w:sz w:val="18"/>
                <w:szCs w:val="18"/>
              </w:rPr>
            </w:pPr>
            <w:r w:rsidRPr="004D53E2">
              <w:rPr>
                <w:rFonts w:ascii="Times New Roman" w:eastAsia="맑은 고딕" w:hAnsi="Times New Roman" w:cs="Times New Roman"/>
                <w:color w:val="000000"/>
                <w:kern w:val="0"/>
                <w:sz w:val="18"/>
                <w:szCs w:val="18"/>
              </w:rPr>
              <w:t xml:space="preserve">(7.37) </w:t>
            </w:r>
          </w:p>
        </w:tc>
      </w:tr>
    </w:tbl>
    <w:p w:rsidR="00AD0932" w:rsidRDefault="00AD093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sectPr w:rsidR="004D53E2" w:rsidSect="004D53E2">
          <w:pgSz w:w="11906" w:h="16838"/>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2059"/>
        <w:gridCol w:w="1514"/>
        <w:gridCol w:w="1517"/>
        <w:gridCol w:w="1516"/>
        <w:gridCol w:w="1516"/>
        <w:gridCol w:w="1514"/>
        <w:gridCol w:w="1516"/>
        <w:gridCol w:w="1514"/>
        <w:gridCol w:w="1490"/>
      </w:tblGrid>
      <w:tr w:rsidR="004D53E2" w:rsidRPr="004D53E2" w:rsidTr="004D53E2">
        <w:trPr>
          <w:trHeight w:val="255"/>
        </w:trPr>
        <w:tc>
          <w:tcPr>
            <w:tcW w:w="5000" w:type="pct"/>
            <w:gridSpan w:val="9"/>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rPr>
                <w:rFonts w:ascii="Times New Roman" w:eastAsia="굴림" w:hAnsi="Times New Roman" w:cs="Times New Roman"/>
                <w:b/>
                <w:kern w:val="0"/>
                <w:sz w:val="16"/>
                <w:szCs w:val="16"/>
              </w:rPr>
            </w:pPr>
            <w:r w:rsidRPr="004D53E2">
              <w:rPr>
                <w:rFonts w:ascii="Times New Roman" w:eastAsia="굴림" w:hAnsi="Times New Roman" w:cs="Times New Roman"/>
                <w:b/>
                <w:kern w:val="0"/>
                <w:sz w:val="16"/>
                <w:szCs w:val="16"/>
              </w:rPr>
              <w:lastRenderedPageBreak/>
              <w:t>Table 3. Business Group’s Influence on Financial Distress Risk: Member Firms vs. Non-member Firms</w:t>
            </w:r>
          </w:p>
        </w:tc>
      </w:tr>
      <w:tr w:rsidR="004D53E2" w:rsidRPr="004D53E2" w:rsidTr="004D53E2">
        <w:trPr>
          <w:trHeight w:val="255"/>
        </w:trPr>
        <w:tc>
          <w:tcPr>
            <w:tcW w:w="5000" w:type="pct"/>
            <w:gridSpan w:val="9"/>
            <w:tcBorders>
              <w:top w:val="nil"/>
              <w:left w:val="nil"/>
              <w:right w:val="nil"/>
            </w:tcBorders>
            <w:shd w:val="clear" w:color="auto" w:fill="auto"/>
            <w:noWrap/>
            <w:vAlign w:val="bottom"/>
            <w:hideMark/>
          </w:tcPr>
          <w:p w:rsidR="004D53E2" w:rsidRPr="004D53E2" w:rsidRDefault="004D53E2" w:rsidP="00D01EDF">
            <w:pPr>
              <w:widowControl/>
              <w:wordWrap/>
              <w:autoSpaceDE/>
              <w:autoSpaceDN/>
              <w:spacing w:after="0" w:line="240" w:lineRule="auto"/>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This table reports the results that examine the impact of industry wide business group influence on member firms’ (the first four columns) and non-member firms’ (the last four columns) financial distress risk. In order to measure firm’s financial distress risk, accounting information based KM-score (Multiple discri</w:t>
            </w:r>
            <w:r w:rsidR="00D01EDF">
              <w:rPr>
                <w:rFonts w:ascii="Times New Roman" w:eastAsia="굴림" w:hAnsi="Times New Roman" w:cs="Times New Roman"/>
                <w:kern w:val="0"/>
                <w:sz w:val="16"/>
                <w:szCs w:val="16"/>
              </w:rPr>
              <w:t>minant analysis) and KL-score (L</w:t>
            </w:r>
            <w:r w:rsidRPr="004D53E2">
              <w:rPr>
                <w:rFonts w:ascii="Times New Roman" w:eastAsia="굴림" w:hAnsi="Times New Roman" w:cs="Times New Roman"/>
                <w:kern w:val="0"/>
                <w:sz w:val="16"/>
                <w:szCs w:val="16"/>
              </w:rPr>
              <w:t xml:space="preserve">ogit regression analysis) are used. To proxy for industry wide business group influence, the business group strength and dominance index (BSDI), developed by </w:t>
            </w:r>
            <w:r w:rsidR="00886B05" w:rsidRPr="004D53E2">
              <w:rPr>
                <w:rFonts w:ascii="Times New Roman" w:eastAsia="굴림" w:hAnsi="Times New Roman" w:cs="Times New Roman"/>
                <w:kern w:val="0"/>
                <w:sz w:val="16"/>
                <w:szCs w:val="16"/>
              </w:rPr>
              <w:fldChar w:fldCharType="begin"/>
            </w:r>
            <w:r w:rsidRPr="004D53E2">
              <w:rPr>
                <w:rFonts w:ascii="Times New Roman" w:eastAsia="굴림" w:hAnsi="Times New Roman" w:cs="Times New Roman"/>
                <w:kern w:val="0"/>
                <w:sz w:val="16"/>
                <w:szCs w:val="16"/>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4D53E2">
              <w:rPr>
                <w:rFonts w:ascii="Times New Roman" w:eastAsia="굴림" w:hAnsi="Times New Roman" w:cs="Times New Roman"/>
                <w:kern w:val="0"/>
                <w:sz w:val="16"/>
                <w:szCs w:val="16"/>
              </w:rPr>
              <w:fldChar w:fldCharType="separate"/>
            </w:r>
            <w:hyperlink w:anchor="_ENREF_1" w:tooltip="Liu, 2016 #130" w:history="1">
              <w:r w:rsidRPr="004D53E2">
                <w:rPr>
                  <w:rFonts w:ascii="Times New Roman" w:eastAsia="굴림" w:hAnsi="Times New Roman" w:cs="Times New Roman"/>
                  <w:noProof/>
                  <w:kern w:val="0"/>
                  <w:sz w:val="16"/>
                  <w:szCs w:val="16"/>
                </w:rPr>
                <w:t>Liu et al. (2016</w:t>
              </w:r>
            </w:hyperlink>
            <w:r w:rsidRPr="004D53E2">
              <w:rPr>
                <w:rFonts w:ascii="Times New Roman" w:eastAsia="굴림" w:hAnsi="Times New Roman" w:cs="Times New Roman"/>
                <w:noProof/>
                <w:kern w:val="0"/>
                <w:sz w:val="16"/>
                <w:szCs w:val="16"/>
              </w:rPr>
              <w:t>)</w:t>
            </w:r>
            <w:r w:rsidR="00886B05" w:rsidRPr="004D53E2">
              <w:rPr>
                <w:rFonts w:ascii="Times New Roman" w:eastAsia="굴림" w:hAnsi="Times New Roman" w:cs="Times New Roman"/>
                <w:kern w:val="0"/>
                <w:sz w:val="16"/>
                <w:szCs w:val="16"/>
              </w:rPr>
              <w:fldChar w:fldCharType="end"/>
            </w:r>
            <w:r w:rsidRPr="004D53E2">
              <w:rPr>
                <w:rFonts w:ascii="Times New Roman" w:eastAsia="굴림" w:hAnsi="Times New Roman" w:cs="Times New Roman"/>
                <w:kern w:val="0"/>
                <w:sz w:val="16"/>
                <w:szCs w:val="16"/>
              </w:rPr>
              <w:t xml:space="preserve">, is used. The BSDI is also decomposed into two orthogonal components: BG MKT Share and ICM size, so that we can evaluate their effects separately. The former is related to member firms’ market share within an industry and the latter is related to the size of internal capital market member firms possess in the same industry. We also control for variables that are known to be determinants of firm’s financial distress risk by previous studies, including: the </w:t>
            </w:r>
            <w:proofErr w:type="spellStart"/>
            <w:r w:rsidRPr="004D53E2">
              <w:rPr>
                <w:rFonts w:ascii="Times New Roman" w:eastAsia="굴림" w:hAnsi="Times New Roman" w:cs="Times New Roman"/>
                <w:kern w:val="0"/>
                <w:sz w:val="16"/>
                <w:szCs w:val="16"/>
              </w:rPr>
              <w:t>Herfindahl</w:t>
            </w:r>
            <w:proofErr w:type="spellEnd"/>
            <w:r w:rsidRPr="004D53E2">
              <w:rPr>
                <w:rFonts w:ascii="Times New Roman" w:eastAsia="굴림" w:hAnsi="Times New Roman" w:cs="Times New Roman"/>
                <w:kern w:val="0"/>
                <w:sz w:val="16"/>
                <w:szCs w:val="16"/>
              </w:rPr>
              <w:t xml:space="preserve">-Hirschman index (HHI), size, leverage, profitability, R&amp;D intensity and risk free rate. For more detailed variable definition, please refer to Section </w:t>
            </w:r>
            <w:r w:rsidR="00886B05">
              <w:rPr>
                <w:rFonts w:ascii="Times New Roman" w:eastAsia="굴림" w:hAnsi="Times New Roman" w:cs="Times New Roman"/>
                <w:kern w:val="0"/>
                <w:sz w:val="16"/>
                <w:szCs w:val="16"/>
              </w:rPr>
              <w:fldChar w:fldCharType="begin"/>
            </w:r>
            <w:r w:rsidR="00D01EDF">
              <w:rPr>
                <w:rFonts w:ascii="Times New Roman" w:eastAsia="SimSun" w:hAnsi="Times New Roman" w:cs="Times New Roman"/>
                <w:kern w:val="0"/>
                <w:sz w:val="16"/>
                <w:szCs w:val="16"/>
                <w:lang w:eastAsia="zh-CN"/>
              </w:rPr>
              <w:instrText xml:space="preserve"> </w:instrText>
            </w:r>
            <w:r w:rsidR="00D01EDF">
              <w:rPr>
                <w:rFonts w:ascii="Times New Roman" w:eastAsia="SimSun" w:hAnsi="Times New Roman" w:cs="Times New Roman" w:hint="eastAsia"/>
                <w:kern w:val="0"/>
                <w:sz w:val="16"/>
                <w:szCs w:val="16"/>
                <w:lang w:eastAsia="zh-CN"/>
              </w:rPr>
              <w:instrText>= 3 \* ROMAN</w:instrText>
            </w:r>
            <w:r w:rsidR="00D01EDF">
              <w:rPr>
                <w:rFonts w:ascii="Times New Roman" w:eastAsia="SimSun" w:hAnsi="Times New Roman" w:cs="Times New Roman"/>
                <w:kern w:val="0"/>
                <w:sz w:val="16"/>
                <w:szCs w:val="16"/>
                <w:lang w:eastAsia="zh-CN"/>
              </w:rPr>
              <w:instrText xml:space="preserve"> </w:instrText>
            </w:r>
            <w:r w:rsidR="00886B05">
              <w:rPr>
                <w:rFonts w:ascii="Times New Roman" w:eastAsia="굴림" w:hAnsi="Times New Roman" w:cs="Times New Roman"/>
                <w:kern w:val="0"/>
                <w:sz w:val="16"/>
                <w:szCs w:val="16"/>
              </w:rPr>
              <w:fldChar w:fldCharType="separate"/>
            </w:r>
            <w:r w:rsidR="00D01EDF">
              <w:rPr>
                <w:rFonts w:ascii="Times New Roman" w:eastAsia="SimSun" w:hAnsi="Times New Roman" w:cs="Times New Roman"/>
                <w:noProof/>
                <w:kern w:val="0"/>
                <w:sz w:val="16"/>
                <w:szCs w:val="16"/>
                <w:lang w:eastAsia="zh-CN"/>
              </w:rPr>
              <w:t>III</w:t>
            </w:r>
            <w:r w:rsidR="00886B05">
              <w:rPr>
                <w:rFonts w:ascii="Times New Roman" w:eastAsia="굴림" w:hAnsi="Times New Roman" w:cs="Times New Roman"/>
                <w:kern w:val="0"/>
                <w:sz w:val="16"/>
                <w:szCs w:val="16"/>
              </w:rPr>
              <w:fldChar w:fldCharType="end"/>
            </w:r>
            <w:r w:rsidRPr="004D53E2">
              <w:rPr>
                <w:rFonts w:ascii="Times New Roman" w:eastAsia="굴림" w:hAnsi="Times New Roman" w:cs="Times New Roman"/>
                <w:kern w:val="0"/>
                <w:sz w:val="16"/>
                <w:szCs w:val="16"/>
              </w:rPr>
              <w:t xml:space="preserve">. Numbers in the parentheses are firm level clustered robust t statistic. *,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6"/>
                <w:szCs w:val="16"/>
              </w:rPr>
              <w:t>is</w:t>
            </w:r>
            <w:r w:rsidRPr="004D53E2">
              <w:rPr>
                <w:rFonts w:ascii="Times New Roman" w:eastAsia="굴림" w:hAnsi="Times New Roman" w:cs="Times New Roman"/>
                <w:kern w:val="0"/>
                <w:sz w:val="16"/>
                <w:szCs w:val="16"/>
              </w:rPr>
              <w:t xml:space="preserve"> excluded from the sample.</w:t>
            </w:r>
          </w:p>
        </w:tc>
      </w:tr>
      <w:tr w:rsidR="004D53E2" w:rsidRPr="004D53E2" w:rsidTr="003A4F08">
        <w:trPr>
          <w:trHeight w:val="255"/>
        </w:trPr>
        <w:tc>
          <w:tcPr>
            <w:tcW w:w="741" w:type="pct"/>
            <w:tcBorders>
              <w:top w:val="single" w:sz="4" w:space="0" w:color="000000"/>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 xml:space="preserve">　</w:t>
            </w:r>
          </w:p>
        </w:tc>
        <w:tc>
          <w:tcPr>
            <w:tcW w:w="2134" w:type="pct"/>
            <w:gridSpan w:val="4"/>
            <w:tcBorders>
              <w:top w:val="single" w:sz="4" w:space="0" w:color="000000"/>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Member Firms</w:t>
            </w:r>
          </w:p>
        </w:tc>
        <w:tc>
          <w:tcPr>
            <w:tcW w:w="2125" w:type="pct"/>
            <w:gridSpan w:val="4"/>
            <w:tcBorders>
              <w:top w:val="single" w:sz="4" w:space="0" w:color="000000"/>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Non-member Firms</w:t>
            </w:r>
          </w:p>
        </w:tc>
      </w:tr>
      <w:tr w:rsidR="003A4F08" w:rsidRPr="004D53E2" w:rsidTr="003A4F08">
        <w:trPr>
          <w:trHeight w:val="255"/>
        </w:trPr>
        <w:tc>
          <w:tcPr>
            <w:tcW w:w="741"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굴림" w:hAnsi="Times New Roman" w:cs="Times New Roman"/>
                <w:kern w:val="0"/>
                <w:sz w:val="16"/>
                <w:szCs w:val="16"/>
              </w:rPr>
            </w:pPr>
          </w:p>
        </w:tc>
        <w:tc>
          <w:tcPr>
            <w:tcW w:w="1067"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KL-score</w:t>
            </w:r>
          </w:p>
        </w:tc>
        <w:tc>
          <w:tcPr>
            <w:tcW w:w="1067"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KM-score</w:t>
            </w:r>
          </w:p>
        </w:tc>
        <w:tc>
          <w:tcPr>
            <w:tcW w:w="1066"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KL-score</w:t>
            </w:r>
          </w:p>
        </w:tc>
        <w:tc>
          <w:tcPr>
            <w:tcW w:w="1059"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KM-score</w:t>
            </w:r>
          </w:p>
        </w:tc>
      </w:tr>
      <w:tr w:rsidR="003A4F08" w:rsidRPr="004D53E2" w:rsidTr="003A4F08">
        <w:trPr>
          <w:trHeight w:val="255"/>
        </w:trPr>
        <w:tc>
          <w:tcPr>
            <w:tcW w:w="741" w:type="pct"/>
            <w:tcBorders>
              <w:left w:val="nil"/>
              <w:bottom w:val="single" w:sz="4" w:space="0" w:color="000000"/>
              <w:right w:val="nil"/>
            </w:tcBorders>
            <w:shd w:val="clear" w:color="auto" w:fill="auto"/>
            <w:noWrap/>
            <w:vAlign w:val="bottom"/>
            <w:hideMark/>
          </w:tcPr>
          <w:p w:rsidR="004D53E2" w:rsidRPr="004D53E2" w:rsidRDefault="000D5BE2" w:rsidP="004D53E2">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VARIABLES</w:t>
            </w:r>
          </w:p>
        </w:tc>
        <w:tc>
          <w:tcPr>
            <w:tcW w:w="533"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(1)</w:t>
            </w:r>
          </w:p>
        </w:tc>
        <w:tc>
          <w:tcPr>
            <w:tcW w:w="534"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(2)</w:t>
            </w:r>
          </w:p>
        </w:tc>
        <w:tc>
          <w:tcPr>
            <w:tcW w:w="534"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(3)</w:t>
            </w:r>
          </w:p>
        </w:tc>
        <w:tc>
          <w:tcPr>
            <w:tcW w:w="534"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(4)</w:t>
            </w:r>
          </w:p>
        </w:tc>
        <w:tc>
          <w:tcPr>
            <w:tcW w:w="533"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(5)</w:t>
            </w:r>
          </w:p>
        </w:tc>
        <w:tc>
          <w:tcPr>
            <w:tcW w:w="534"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(6)</w:t>
            </w:r>
          </w:p>
        </w:tc>
        <w:tc>
          <w:tcPr>
            <w:tcW w:w="533"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(7)</w:t>
            </w:r>
          </w:p>
        </w:tc>
        <w:tc>
          <w:tcPr>
            <w:tcW w:w="526"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(8)</w:t>
            </w:r>
          </w:p>
        </w:tc>
      </w:tr>
      <w:tr w:rsidR="003A4F08" w:rsidRPr="004D53E2" w:rsidTr="003A4F08">
        <w:trPr>
          <w:trHeight w:val="255"/>
        </w:trPr>
        <w:tc>
          <w:tcPr>
            <w:tcW w:w="741" w:type="pct"/>
            <w:vMerge w:val="restart"/>
            <w:tcBorders>
              <w:top w:val="single" w:sz="4" w:space="0" w:color="000000"/>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BSDI</w:t>
            </w:r>
          </w:p>
        </w:tc>
        <w:tc>
          <w:tcPr>
            <w:tcW w:w="533"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0.4812</w:t>
            </w:r>
          </w:p>
        </w:tc>
        <w:tc>
          <w:tcPr>
            <w:tcW w:w="534"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0.5440</w:t>
            </w:r>
          </w:p>
        </w:tc>
        <w:tc>
          <w:tcPr>
            <w:tcW w:w="534"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3"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0.7856***</w:t>
            </w:r>
          </w:p>
        </w:tc>
        <w:tc>
          <w:tcPr>
            <w:tcW w:w="534"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3"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1.0882***</w:t>
            </w:r>
          </w:p>
        </w:tc>
        <w:tc>
          <w:tcPr>
            <w:tcW w:w="526" w:type="pct"/>
            <w:tcBorders>
              <w:top w:val="single" w:sz="4" w:space="0" w:color="000000"/>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(1.01)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(6.51)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(6.42)</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BG MKT Share</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0.9784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0.3294</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0.8425***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1.2771***</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(1.34)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(0.33)</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(4.08)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(4.42)</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ICM Size</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0.2870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0.6279</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0.7563***</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0.9911***</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(0.61)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(0.97)</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(5.25)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(4.86)</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HHI</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0.0658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-0.0383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-0.0547</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-0.0098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-0.1437</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-0.1545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-0.1747</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-0.2104</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(-1.06)</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(-1.26)</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Size</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-0.4722***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-0.4776***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-0.1035**</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-0.1012**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-0.7970***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-0.7970***</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-0.5951***</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-0.5950***</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(-14.29)</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(-14.07)</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(-2.11)</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(-2.02)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(-84.22)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(-84.25)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(-43.14)</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(-43.14)</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Leverage Ratio</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0.0104***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0.0104***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0.0142***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0.0142***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0.0026***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0.0026***</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0.0030***</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0.0030***</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(4.23)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(4.23)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(3.92)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(3.92)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(8.15)</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(8.15)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(6.75)</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(6.76)</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Profitability</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-0.3948***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-0.3919***</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-0.2536***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-0.2548***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-0.2760***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-0.2760***</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-0.0536***</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-0.0537***</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(-7.08)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(-6.98)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(-3.16)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(-3.16)</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(-21.32)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(-21.32)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(-2.84)</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(-2.84)</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R&amp;D Intensity</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-0.8678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-0.8514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0.0850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0.0780</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-1.7029***</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-1.7055***</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-1.0343</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-1.0428</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(-0.40)</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(-0.39)</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(0.03)</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(-2.93)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(-2.94)</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(-1.25)</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(-1.26)</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Risk Free Rate</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0.0016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0.0034</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0.1677***</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0.1669***</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-0.0485***</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-0.0481***</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0.0134</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0.0146</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(0.06)</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(0.13)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(4.18)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(4.18)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(-6.38)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(-6.29)</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(1.25)</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(1.35)</w:t>
            </w:r>
          </w:p>
        </w:tc>
      </w:tr>
      <w:tr w:rsidR="003A4F08" w:rsidRPr="004D53E2" w:rsidTr="003A4F08">
        <w:trPr>
          <w:trHeight w:val="255"/>
        </w:trPr>
        <w:tc>
          <w:tcPr>
            <w:tcW w:w="741" w:type="pct"/>
            <w:vMerge w:val="restart"/>
            <w:tcBorders>
              <w:top w:val="nil"/>
              <w:left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Constant</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5.7672***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5.7527***</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2.1035***</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2.1098***</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9.4083***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9.4019***</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8.5763***</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8.5552***</w:t>
            </w:r>
          </w:p>
        </w:tc>
      </w:tr>
      <w:tr w:rsidR="003A4F08" w:rsidRPr="004D53E2" w:rsidTr="003A4F08">
        <w:trPr>
          <w:trHeight w:val="255"/>
        </w:trPr>
        <w:tc>
          <w:tcPr>
            <w:tcW w:w="741" w:type="pct"/>
            <w:vMerge/>
            <w:tcBorders>
              <w:left w:val="nil"/>
              <w:bottom w:val="nil"/>
              <w:right w:val="nil"/>
            </w:tcBorders>
            <w:shd w:val="clear" w:color="auto" w:fill="auto"/>
            <w:noWrap/>
            <w:vAlign w:val="center"/>
            <w:hideMark/>
          </w:tcPr>
          <w:p w:rsidR="003A4F08"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(13.32)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(13.33)</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(3.22)</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(3.24)</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(89.48)</w:t>
            </w:r>
          </w:p>
        </w:tc>
        <w:tc>
          <w:tcPr>
            <w:tcW w:w="534"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(88.52)</w:t>
            </w:r>
          </w:p>
        </w:tc>
        <w:tc>
          <w:tcPr>
            <w:tcW w:w="533"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(55.53)</w:t>
            </w:r>
          </w:p>
        </w:tc>
        <w:tc>
          <w:tcPr>
            <w:tcW w:w="526" w:type="pct"/>
            <w:tcBorders>
              <w:top w:val="nil"/>
              <w:left w:val="nil"/>
              <w:bottom w:val="nil"/>
              <w:right w:val="nil"/>
            </w:tcBorders>
            <w:shd w:val="clear" w:color="auto" w:fill="auto"/>
            <w:noWrap/>
            <w:vAlign w:val="bottom"/>
            <w:hideMark/>
          </w:tcPr>
          <w:p w:rsidR="003A4F08" w:rsidRPr="004D53E2" w:rsidRDefault="003A4F08"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(54.82)</w:t>
            </w:r>
          </w:p>
        </w:tc>
      </w:tr>
      <w:tr w:rsidR="003A4F08" w:rsidRPr="004D53E2" w:rsidTr="003A4F08">
        <w:trPr>
          <w:trHeight w:val="255"/>
        </w:trPr>
        <w:tc>
          <w:tcPr>
            <w:tcW w:w="741" w:type="pct"/>
            <w:tcBorders>
              <w:top w:val="nil"/>
              <w:left w:val="nil"/>
              <w:bottom w:val="nil"/>
              <w:right w:val="nil"/>
            </w:tcBorders>
            <w:shd w:val="clear" w:color="auto" w:fill="auto"/>
            <w:noWrap/>
            <w:vAlign w:val="center"/>
            <w:hideMark/>
          </w:tcPr>
          <w:p w:rsidR="004D53E2"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 xml:space="preserve">Year </w:t>
            </w:r>
            <w:r w:rsidR="004D53E2" w:rsidRPr="004D53E2">
              <w:rPr>
                <w:rFonts w:ascii="Times New Roman" w:eastAsia="굴림" w:hAnsi="Times New Roman" w:cs="Times New Roman"/>
                <w:kern w:val="0"/>
                <w:sz w:val="16"/>
                <w:szCs w:val="16"/>
              </w:rPr>
              <w:t>Effects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2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r>
      <w:tr w:rsidR="003A4F08" w:rsidRPr="004D53E2" w:rsidTr="003A4F08">
        <w:trPr>
          <w:trHeight w:val="255"/>
        </w:trPr>
        <w:tc>
          <w:tcPr>
            <w:tcW w:w="741" w:type="pct"/>
            <w:tcBorders>
              <w:top w:val="nil"/>
              <w:left w:val="nil"/>
              <w:bottom w:val="nil"/>
              <w:right w:val="nil"/>
            </w:tcBorders>
            <w:shd w:val="clear" w:color="auto" w:fill="auto"/>
            <w:noWrap/>
            <w:vAlign w:val="center"/>
            <w:hideMark/>
          </w:tcPr>
          <w:p w:rsidR="004D53E2" w:rsidRPr="004D53E2" w:rsidRDefault="003A4F08" w:rsidP="003A4F08">
            <w:pPr>
              <w:widowControl/>
              <w:wordWrap/>
              <w:autoSpaceDE/>
              <w:autoSpaceDN/>
              <w:spacing w:after="0" w:line="240" w:lineRule="auto"/>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 xml:space="preserve">Firm </w:t>
            </w:r>
            <w:r w:rsidR="004D53E2" w:rsidRPr="004D53E2">
              <w:rPr>
                <w:rFonts w:ascii="Times New Roman" w:eastAsia="굴림" w:hAnsi="Times New Roman" w:cs="Times New Roman"/>
                <w:kern w:val="0"/>
                <w:sz w:val="16"/>
                <w:szCs w:val="16"/>
              </w:rPr>
              <w:t>Effects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c>
          <w:tcPr>
            <w:tcW w:w="52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Yes</w:t>
            </w:r>
          </w:p>
        </w:tc>
      </w:tr>
      <w:tr w:rsidR="003A4F08" w:rsidRPr="004D53E2" w:rsidTr="003A4F08">
        <w:trPr>
          <w:trHeight w:val="255"/>
        </w:trPr>
        <w:tc>
          <w:tcPr>
            <w:tcW w:w="741" w:type="pct"/>
            <w:tcBorders>
              <w:top w:val="nil"/>
              <w:left w:val="nil"/>
              <w:bottom w:val="nil"/>
              <w:right w:val="nil"/>
            </w:tcBorders>
            <w:shd w:val="clear" w:color="auto" w:fill="auto"/>
            <w:noWrap/>
            <w:vAlign w:val="center"/>
            <w:hideMark/>
          </w:tcPr>
          <w:p w:rsidR="004D53E2" w:rsidRPr="004D53E2" w:rsidRDefault="004D53E2"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Observations</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8,388</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8,388</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8,388</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8,388</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195,098</w:t>
            </w:r>
          </w:p>
        </w:tc>
        <w:tc>
          <w:tcPr>
            <w:tcW w:w="53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195,098</w:t>
            </w:r>
          </w:p>
        </w:tc>
        <w:tc>
          <w:tcPr>
            <w:tcW w:w="53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195,098</w:t>
            </w:r>
          </w:p>
        </w:tc>
        <w:tc>
          <w:tcPr>
            <w:tcW w:w="526"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195,098</w:t>
            </w:r>
          </w:p>
        </w:tc>
      </w:tr>
      <w:tr w:rsidR="003A4F08" w:rsidRPr="004D53E2" w:rsidTr="003A4F08">
        <w:trPr>
          <w:trHeight w:val="255"/>
        </w:trPr>
        <w:tc>
          <w:tcPr>
            <w:tcW w:w="741" w:type="pct"/>
            <w:tcBorders>
              <w:top w:val="nil"/>
              <w:left w:val="nil"/>
              <w:bottom w:val="single" w:sz="4" w:space="0" w:color="auto"/>
              <w:right w:val="nil"/>
            </w:tcBorders>
            <w:shd w:val="clear" w:color="auto" w:fill="auto"/>
            <w:noWrap/>
            <w:vAlign w:val="center"/>
            <w:hideMark/>
          </w:tcPr>
          <w:p w:rsidR="004D53E2" w:rsidRPr="004D53E2" w:rsidRDefault="004D53E2" w:rsidP="003A4F08">
            <w:pPr>
              <w:widowControl/>
              <w:wordWrap/>
              <w:autoSpaceDE/>
              <w:autoSpaceDN/>
              <w:spacing w:after="0" w:line="240" w:lineRule="auto"/>
              <w:jc w:val="left"/>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Within R</w:t>
            </w:r>
            <w:r w:rsidR="003A4F08">
              <w:rPr>
                <w:rFonts w:ascii="Times New Roman" w:eastAsia="굴림" w:hAnsi="Times New Roman" w:cs="Times New Roman"/>
                <w:kern w:val="0"/>
                <w:sz w:val="16"/>
                <w:szCs w:val="16"/>
              </w:rPr>
              <w:t>^2</w:t>
            </w:r>
          </w:p>
        </w:tc>
        <w:tc>
          <w:tcPr>
            <w:tcW w:w="53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0.2039</w:t>
            </w:r>
          </w:p>
        </w:tc>
        <w:tc>
          <w:tcPr>
            <w:tcW w:w="53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0.2041</w:t>
            </w:r>
          </w:p>
        </w:tc>
        <w:tc>
          <w:tcPr>
            <w:tcW w:w="53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0.0490</w:t>
            </w:r>
          </w:p>
        </w:tc>
        <w:tc>
          <w:tcPr>
            <w:tcW w:w="53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0.0490</w:t>
            </w:r>
          </w:p>
        </w:tc>
        <w:tc>
          <w:tcPr>
            <w:tcW w:w="53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0.2858</w:t>
            </w:r>
          </w:p>
        </w:tc>
        <w:tc>
          <w:tcPr>
            <w:tcW w:w="53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0.2858</w:t>
            </w:r>
          </w:p>
        </w:tc>
        <w:tc>
          <w:tcPr>
            <w:tcW w:w="53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0.0869</w:t>
            </w:r>
          </w:p>
        </w:tc>
        <w:tc>
          <w:tcPr>
            <w:tcW w:w="526"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6"/>
                <w:szCs w:val="16"/>
              </w:rPr>
            </w:pPr>
            <w:r w:rsidRPr="004D53E2">
              <w:rPr>
                <w:rFonts w:ascii="Times New Roman" w:eastAsia="굴림" w:hAnsi="Times New Roman" w:cs="Times New Roman"/>
                <w:kern w:val="0"/>
                <w:sz w:val="16"/>
                <w:szCs w:val="16"/>
              </w:rPr>
              <w:t>0.0869</w:t>
            </w:r>
          </w:p>
        </w:tc>
      </w:tr>
    </w:tbl>
    <w:p w:rsidR="004D53E2" w:rsidRDefault="004D53E2" w:rsidP="003D699C">
      <w:pPr>
        <w:widowControl/>
        <w:wordWrap/>
        <w:autoSpaceDE/>
        <w:autoSpaceDN/>
        <w:rPr>
          <w:rFonts w:ascii="Times New Roman" w:hAnsi="Times New Roman" w:cs="Times New Roman"/>
          <w:szCs w:val="20"/>
        </w:rPr>
        <w:sectPr w:rsidR="004D53E2" w:rsidSect="004D53E2">
          <w:pgSz w:w="16838" w:h="11906" w:orient="landscape"/>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2361"/>
        <w:gridCol w:w="1717"/>
        <w:gridCol w:w="1719"/>
        <w:gridCol w:w="1715"/>
        <w:gridCol w:w="1712"/>
      </w:tblGrid>
      <w:tr w:rsidR="004D53E2" w:rsidRPr="004D53E2" w:rsidTr="004D53E2">
        <w:trPr>
          <w:trHeight w:val="255"/>
        </w:trPr>
        <w:tc>
          <w:tcPr>
            <w:tcW w:w="5000" w:type="pct"/>
            <w:gridSpan w:val="5"/>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굴림" w:hAnsi="Times New Roman" w:cs="Times New Roman"/>
                <w:b/>
                <w:kern w:val="0"/>
                <w:sz w:val="18"/>
                <w:szCs w:val="18"/>
              </w:rPr>
            </w:pPr>
            <w:r w:rsidRPr="004D53E2">
              <w:rPr>
                <w:rFonts w:ascii="Times New Roman" w:eastAsia="굴림" w:hAnsi="Times New Roman" w:cs="Times New Roman"/>
                <w:b/>
                <w:kern w:val="0"/>
                <w:sz w:val="18"/>
                <w:szCs w:val="18"/>
              </w:rPr>
              <w:lastRenderedPageBreak/>
              <w:t>Table 4. Business Group’s Influence on Financial Distress Risk: Entire Industry</w:t>
            </w:r>
          </w:p>
        </w:tc>
      </w:tr>
      <w:tr w:rsidR="004D53E2" w:rsidRPr="004D53E2" w:rsidTr="004D53E2">
        <w:trPr>
          <w:trHeight w:val="255"/>
        </w:trPr>
        <w:tc>
          <w:tcPr>
            <w:tcW w:w="5000" w:type="pct"/>
            <w:gridSpan w:val="5"/>
            <w:tcBorders>
              <w:top w:val="nil"/>
              <w:left w:val="nil"/>
              <w:bottom w:val="nil"/>
              <w:right w:val="nil"/>
            </w:tcBorders>
            <w:shd w:val="clear" w:color="auto" w:fill="auto"/>
            <w:noWrap/>
            <w:vAlign w:val="bottom"/>
            <w:hideMark/>
          </w:tcPr>
          <w:p w:rsidR="004D53E2" w:rsidRPr="004D53E2" w:rsidRDefault="004D53E2" w:rsidP="00D01EDF">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This table reports the results that examine the impact of industry wide business group influence on the entire industry (combination of member and non-member firms)’s financial distress risk. In order to measure firm’s financial distress risk, accounting information based KM-score (Multiple discri</w:t>
            </w:r>
            <w:r w:rsidR="00D01EDF">
              <w:rPr>
                <w:rFonts w:ascii="Times New Roman" w:eastAsia="굴림" w:hAnsi="Times New Roman" w:cs="Times New Roman"/>
                <w:kern w:val="0"/>
                <w:sz w:val="18"/>
                <w:szCs w:val="18"/>
              </w:rPr>
              <w:t>minant analysis) and KL-score (L</w:t>
            </w:r>
            <w:r w:rsidRPr="004D53E2">
              <w:rPr>
                <w:rFonts w:ascii="Times New Roman" w:eastAsia="굴림" w:hAnsi="Times New Roman" w:cs="Times New Roman"/>
                <w:kern w:val="0"/>
                <w:sz w:val="18"/>
                <w:szCs w:val="18"/>
              </w:rPr>
              <w:t xml:space="preserve">ogit regression analysis) are used. To proxy for industry wide business group influence, the business group strength and dominance index (BSDI), developed by </w:t>
            </w:r>
            <w:r w:rsidR="00886B05" w:rsidRPr="004D53E2">
              <w:rPr>
                <w:rFonts w:ascii="Times New Roman" w:eastAsia="굴림" w:hAnsi="Times New Roman" w:cs="Times New Roman"/>
                <w:kern w:val="0"/>
                <w:sz w:val="18"/>
                <w:szCs w:val="18"/>
              </w:rPr>
              <w:fldChar w:fldCharType="begin"/>
            </w:r>
            <w:r w:rsidRPr="004D53E2">
              <w:rPr>
                <w:rFonts w:ascii="Times New Roman" w:eastAsia="굴림" w:hAnsi="Times New Roman" w:cs="Times New Roman"/>
                <w:kern w:val="0"/>
                <w:sz w:val="18"/>
                <w:szCs w:val="18"/>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4D53E2">
              <w:rPr>
                <w:rFonts w:ascii="Times New Roman" w:eastAsia="굴림" w:hAnsi="Times New Roman" w:cs="Times New Roman"/>
                <w:kern w:val="0"/>
                <w:sz w:val="18"/>
                <w:szCs w:val="18"/>
              </w:rPr>
              <w:fldChar w:fldCharType="separate"/>
            </w:r>
            <w:hyperlink w:anchor="_ENREF_1" w:tooltip="Liu, 2016 #130" w:history="1">
              <w:r w:rsidRPr="004D53E2">
                <w:rPr>
                  <w:rFonts w:ascii="Times New Roman" w:eastAsia="굴림" w:hAnsi="Times New Roman" w:cs="Times New Roman"/>
                  <w:noProof/>
                  <w:kern w:val="0"/>
                  <w:sz w:val="18"/>
                  <w:szCs w:val="18"/>
                </w:rPr>
                <w:t>Liu et al. (2016</w:t>
              </w:r>
            </w:hyperlink>
            <w:r w:rsidRPr="004D53E2">
              <w:rPr>
                <w:rFonts w:ascii="Times New Roman" w:eastAsia="굴림" w:hAnsi="Times New Roman" w:cs="Times New Roman"/>
                <w:noProof/>
                <w:kern w:val="0"/>
                <w:sz w:val="18"/>
                <w:szCs w:val="18"/>
              </w:rPr>
              <w:t>)</w:t>
            </w:r>
            <w:r w:rsidR="00886B05" w:rsidRPr="004D53E2">
              <w:rPr>
                <w:rFonts w:ascii="Times New Roman" w:eastAsia="굴림" w:hAnsi="Times New Roman" w:cs="Times New Roman"/>
                <w:kern w:val="0"/>
                <w:sz w:val="18"/>
                <w:szCs w:val="18"/>
              </w:rPr>
              <w:fldChar w:fldCharType="end"/>
            </w:r>
            <w:r w:rsidRPr="004D53E2">
              <w:rPr>
                <w:rFonts w:ascii="Times New Roman" w:eastAsia="굴림" w:hAnsi="Times New Roman" w:cs="Times New Roman"/>
                <w:kern w:val="0"/>
                <w:sz w:val="18"/>
                <w:szCs w:val="18"/>
              </w:rPr>
              <w:t xml:space="preserve">, is used. The BSDI is also decomposed into two orthogonal components: BG MKT Share and ICM size, so that we can evaluate their effects separately. The former is related to member firms’ market share within an industry and the latter is related to the size of internal capital market member firms possess in the same industry. We also control for variables that are known to be determinants of firm’s financial distress risk by previous studies, including: the </w:t>
            </w:r>
            <w:proofErr w:type="spellStart"/>
            <w:r w:rsidRPr="004D53E2">
              <w:rPr>
                <w:rFonts w:ascii="Times New Roman" w:eastAsia="굴림" w:hAnsi="Times New Roman" w:cs="Times New Roman"/>
                <w:kern w:val="0"/>
                <w:sz w:val="18"/>
                <w:szCs w:val="18"/>
              </w:rPr>
              <w:t>Herfindahl</w:t>
            </w:r>
            <w:proofErr w:type="spellEnd"/>
            <w:r w:rsidRPr="004D53E2">
              <w:rPr>
                <w:rFonts w:ascii="Times New Roman" w:eastAsia="굴림" w:hAnsi="Times New Roman" w:cs="Times New Roman"/>
                <w:kern w:val="0"/>
                <w:sz w:val="18"/>
                <w:szCs w:val="18"/>
              </w:rPr>
              <w:t xml:space="preserve">-Hirschman index (HHI), size, leverage, profitability, R&amp;D intensity and risk free rate. For more detailed variable definition, please refer to Section </w:t>
            </w:r>
            <w:r w:rsidR="00886B05">
              <w:rPr>
                <w:rFonts w:ascii="Times New Roman" w:eastAsia="굴림" w:hAnsi="Times New Roman" w:cs="Times New Roman"/>
                <w:kern w:val="0"/>
                <w:sz w:val="18"/>
                <w:szCs w:val="18"/>
              </w:rPr>
              <w:fldChar w:fldCharType="begin"/>
            </w:r>
            <w:r w:rsidR="00D01EDF">
              <w:rPr>
                <w:rFonts w:ascii="Times New Roman" w:eastAsia="SimSun" w:hAnsi="Times New Roman" w:cs="Times New Roman"/>
                <w:kern w:val="0"/>
                <w:sz w:val="18"/>
                <w:szCs w:val="18"/>
                <w:lang w:eastAsia="zh-CN"/>
              </w:rPr>
              <w:instrText xml:space="preserve"> </w:instrText>
            </w:r>
            <w:r w:rsidR="00D01EDF">
              <w:rPr>
                <w:rFonts w:ascii="Times New Roman" w:eastAsia="SimSun" w:hAnsi="Times New Roman" w:cs="Times New Roman" w:hint="eastAsia"/>
                <w:kern w:val="0"/>
                <w:sz w:val="18"/>
                <w:szCs w:val="18"/>
                <w:lang w:eastAsia="zh-CN"/>
              </w:rPr>
              <w:instrText>= 3 \* ROMAN</w:instrText>
            </w:r>
            <w:r w:rsidR="00D01EDF">
              <w:rPr>
                <w:rFonts w:ascii="Times New Roman" w:eastAsia="SimSun" w:hAnsi="Times New Roman" w:cs="Times New Roman"/>
                <w:kern w:val="0"/>
                <w:sz w:val="18"/>
                <w:szCs w:val="18"/>
                <w:lang w:eastAsia="zh-CN"/>
              </w:rPr>
              <w:instrText xml:space="preserve"> </w:instrText>
            </w:r>
            <w:r w:rsidR="00886B05">
              <w:rPr>
                <w:rFonts w:ascii="Times New Roman" w:eastAsia="굴림" w:hAnsi="Times New Roman" w:cs="Times New Roman"/>
                <w:kern w:val="0"/>
                <w:sz w:val="18"/>
                <w:szCs w:val="18"/>
              </w:rPr>
              <w:fldChar w:fldCharType="separate"/>
            </w:r>
            <w:r w:rsidR="00D01EDF">
              <w:rPr>
                <w:rFonts w:ascii="Times New Roman" w:eastAsia="SimSun" w:hAnsi="Times New Roman" w:cs="Times New Roman"/>
                <w:noProof/>
                <w:kern w:val="0"/>
                <w:sz w:val="18"/>
                <w:szCs w:val="18"/>
                <w:lang w:eastAsia="zh-CN"/>
              </w:rPr>
              <w:t>III</w:t>
            </w:r>
            <w:r w:rsidR="00886B05">
              <w:rPr>
                <w:rFonts w:ascii="Times New Roman" w:eastAsia="굴림" w:hAnsi="Times New Roman" w:cs="Times New Roman"/>
                <w:kern w:val="0"/>
                <w:sz w:val="18"/>
                <w:szCs w:val="18"/>
              </w:rPr>
              <w:fldChar w:fldCharType="end"/>
            </w:r>
            <w:r w:rsidRPr="004D53E2">
              <w:rPr>
                <w:rFonts w:ascii="Times New Roman" w:eastAsia="굴림" w:hAnsi="Times New Roman" w:cs="Times New Roman"/>
                <w:kern w:val="0"/>
                <w:sz w:val="18"/>
                <w:szCs w:val="18"/>
              </w:rPr>
              <w:t xml:space="preserve">. Numbers in the parentheses are firm level clustered robust t statistic. *,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8"/>
                <w:szCs w:val="18"/>
              </w:rPr>
              <w:t>is</w:t>
            </w:r>
            <w:r w:rsidRPr="004D53E2">
              <w:rPr>
                <w:rFonts w:ascii="Times New Roman" w:eastAsia="굴림" w:hAnsi="Times New Roman" w:cs="Times New Roman"/>
                <w:kern w:val="0"/>
                <w:sz w:val="18"/>
                <w:szCs w:val="18"/>
              </w:rPr>
              <w:t xml:space="preserve"> excluded from the sample.</w:t>
            </w:r>
          </w:p>
        </w:tc>
      </w:tr>
      <w:tr w:rsidR="004D53E2" w:rsidRPr="004D53E2" w:rsidTr="00AE11E5">
        <w:trPr>
          <w:trHeight w:val="255"/>
        </w:trPr>
        <w:tc>
          <w:tcPr>
            <w:tcW w:w="1303" w:type="pct"/>
            <w:tcBorders>
              <w:top w:val="single" w:sz="4" w:space="0" w:color="000000"/>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 xml:space="preserve">　</w:t>
            </w:r>
          </w:p>
        </w:tc>
        <w:tc>
          <w:tcPr>
            <w:tcW w:w="3697" w:type="pct"/>
            <w:gridSpan w:val="4"/>
            <w:tcBorders>
              <w:top w:val="single" w:sz="4" w:space="0" w:color="000000"/>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Entire Industry</w:t>
            </w:r>
          </w:p>
        </w:tc>
      </w:tr>
      <w:tr w:rsidR="004D53E2" w:rsidRPr="004D53E2" w:rsidTr="00AE11E5">
        <w:trPr>
          <w:trHeight w:val="255"/>
        </w:trPr>
        <w:tc>
          <w:tcPr>
            <w:tcW w:w="1303" w:type="pct"/>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left"/>
              <w:rPr>
                <w:rFonts w:ascii="Times New Roman" w:eastAsia="굴림" w:hAnsi="Times New Roman" w:cs="Times New Roman"/>
                <w:kern w:val="0"/>
                <w:sz w:val="18"/>
                <w:szCs w:val="18"/>
              </w:rPr>
            </w:pPr>
          </w:p>
        </w:tc>
        <w:tc>
          <w:tcPr>
            <w:tcW w:w="1851"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KL-score</w:t>
            </w:r>
          </w:p>
        </w:tc>
        <w:tc>
          <w:tcPr>
            <w:tcW w:w="1847" w:type="pct"/>
            <w:gridSpan w:val="2"/>
            <w:tcBorders>
              <w:top w:val="nil"/>
              <w:left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KM-score</w:t>
            </w:r>
          </w:p>
        </w:tc>
      </w:tr>
      <w:tr w:rsidR="00AE11E5" w:rsidRPr="004D53E2" w:rsidTr="00AE11E5">
        <w:trPr>
          <w:trHeight w:val="255"/>
        </w:trPr>
        <w:tc>
          <w:tcPr>
            <w:tcW w:w="1303" w:type="pct"/>
            <w:tcBorders>
              <w:left w:val="nil"/>
              <w:bottom w:val="single" w:sz="4" w:space="0" w:color="000000"/>
              <w:right w:val="nil"/>
            </w:tcBorders>
            <w:shd w:val="clear" w:color="auto" w:fill="auto"/>
            <w:noWrap/>
            <w:vAlign w:val="bottom"/>
            <w:hideMark/>
          </w:tcPr>
          <w:p w:rsidR="004D53E2" w:rsidRPr="004D53E2" w:rsidRDefault="000D5BE2" w:rsidP="004D53E2">
            <w:pPr>
              <w:widowControl/>
              <w:wordWrap/>
              <w:autoSpaceDE/>
              <w:autoSpaceDN/>
              <w:spacing w:after="0" w:line="240" w:lineRule="auto"/>
              <w:jc w:val="left"/>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VARIABLES</w:t>
            </w:r>
          </w:p>
        </w:tc>
        <w:tc>
          <w:tcPr>
            <w:tcW w:w="925"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8"/>
                <w:szCs w:val="18"/>
              </w:rPr>
            </w:pPr>
            <w:r>
              <w:rPr>
                <w:rFonts w:ascii="Times New Roman" w:eastAsia="굴림" w:hAnsi="Times New Roman" w:cs="Times New Roman"/>
                <w:kern w:val="0"/>
                <w:sz w:val="18"/>
                <w:szCs w:val="18"/>
              </w:rPr>
              <w:t>(1)</w:t>
            </w:r>
          </w:p>
        </w:tc>
        <w:tc>
          <w:tcPr>
            <w:tcW w:w="925"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8"/>
                <w:szCs w:val="18"/>
              </w:rPr>
            </w:pPr>
            <w:r>
              <w:rPr>
                <w:rFonts w:ascii="Times New Roman" w:eastAsia="굴림" w:hAnsi="Times New Roman" w:cs="Times New Roman"/>
                <w:kern w:val="0"/>
                <w:sz w:val="18"/>
                <w:szCs w:val="18"/>
              </w:rPr>
              <w:t>(2)</w:t>
            </w:r>
          </w:p>
        </w:tc>
        <w:tc>
          <w:tcPr>
            <w:tcW w:w="924"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8"/>
                <w:szCs w:val="18"/>
              </w:rPr>
            </w:pPr>
            <w:r>
              <w:rPr>
                <w:rFonts w:ascii="Times New Roman" w:eastAsia="굴림" w:hAnsi="Times New Roman" w:cs="Times New Roman"/>
                <w:kern w:val="0"/>
                <w:sz w:val="18"/>
                <w:szCs w:val="18"/>
              </w:rPr>
              <w:t>(3)</w:t>
            </w:r>
          </w:p>
        </w:tc>
        <w:tc>
          <w:tcPr>
            <w:tcW w:w="923" w:type="pct"/>
            <w:tcBorders>
              <w:left w:val="nil"/>
              <w:bottom w:val="single" w:sz="4" w:space="0" w:color="000000"/>
              <w:right w:val="nil"/>
            </w:tcBorders>
            <w:shd w:val="clear" w:color="auto" w:fill="auto"/>
            <w:noWrap/>
            <w:vAlign w:val="bottom"/>
            <w:hideMark/>
          </w:tcPr>
          <w:p w:rsidR="004D53E2" w:rsidRPr="004D53E2" w:rsidRDefault="00E960C0" w:rsidP="004D53E2">
            <w:pPr>
              <w:widowControl/>
              <w:wordWrap/>
              <w:autoSpaceDE/>
              <w:autoSpaceDN/>
              <w:spacing w:after="0" w:line="240" w:lineRule="auto"/>
              <w:jc w:val="center"/>
              <w:rPr>
                <w:rFonts w:ascii="Times New Roman" w:eastAsia="굴림" w:hAnsi="Times New Roman" w:cs="Times New Roman"/>
                <w:kern w:val="0"/>
                <w:sz w:val="18"/>
                <w:szCs w:val="18"/>
              </w:rPr>
            </w:pPr>
            <w:r>
              <w:rPr>
                <w:rFonts w:ascii="Times New Roman" w:eastAsia="굴림" w:hAnsi="Times New Roman" w:cs="Times New Roman"/>
                <w:kern w:val="0"/>
                <w:sz w:val="18"/>
                <w:szCs w:val="18"/>
              </w:rPr>
              <w:t>(4)</w:t>
            </w:r>
          </w:p>
        </w:tc>
      </w:tr>
      <w:tr w:rsidR="00AE11E5" w:rsidRPr="004D53E2" w:rsidTr="00AE11E5">
        <w:trPr>
          <w:trHeight w:val="255"/>
        </w:trPr>
        <w:tc>
          <w:tcPr>
            <w:tcW w:w="1303" w:type="pct"/>
            <w:vMerge w:val="restart"/>
            <w:tcBorders>
              <w:top w:val="single" w:sz="4" w:space="0" w:color="000000"/>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BSDI</w:t>
            </w:r>
          </w:p>
        </w:tc>
        <w:tc>
          <w:tcPr>
            <w:tcW w:w="925" w:type="pct"/>
            <w:tcBorders>
              <w:top w:val="single" w:sz="4" w:space="0" w:color="000000"/>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0.7957***</w:t>
            </w:r>
          </w:p>
        </w:tc>
        <w:tc>
          <w:tcPr>
            <w:tcW w:w="925" w:type="pct"/>
            <w:tcBorders>
              <w:top w:val="single" w:sz="4" w:space="0" w:color="000000"/>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4" w:type="pct"/>
            <w:tcBorders>
              <w:top w:val="single" w:sz="4" w:space="0" w:color="000000"/>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1.0765***</w:t>
            </w:r>
          </w:p>
        </w:tc>
        <w:tc>
          <w:tcPr>
            <w:tcW w:w="923" w:type="pct"/>
            <w:tcBorders>
              <w:top w:val="single" w:sz="4" w:space="0" w:color="000000"/>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(6.84)</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(6.62)</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D01EDF" w:rsidP="00AE11E5">
            <w:pPr>
              <w:widowControl/>
              <w:wordWrap/>
              <w:autoSpaceDE/>
              <w:autoSpaceDN/>
              <w:spacing w:after="0" w:line="240" w:lineRule="auto"/>
              <w:rPr>
                <w:rFonts w:ascii="Times New Roman" w:eastAsia="굴림" w:hAnsi="Times New Roman" w:cs="Times New Roman"/>
                <w:kern w:val="0"/>
                <w:sz w:val="18"/>
                <w:szCs w:val="18"/>
              </w:rPr>
            </w:pPr>
            <w:r>
              <w:rPr>
                <w:rFonts w:ascii="Times New Roman" w:eastAsia="굴림" w:hAnsi="Times New Roman" w:cs="Times New Roman"/>
                <w:kern w:val="0"/>
                <w:sz w:val="18"/>
                <w:szCs w:val="18"/>
              </w:rPr>
              <w:t>BG MKT Share</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0.9960***</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1.4210***</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(4.99)</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(5.09)</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D01EDF" w:rsidP="00D01EDF">
            <w:pPr>
              <w:widowControl/>
              <w:wordWrap/>
              <w:autoSpaceDE/>
              <w:autoSpaceDN/>
              <w:spacing w:after="0" w:line="240" w:lineRule="auto"/>
              <w:rPr>
                <w:rFonts w:ascii="Times New Roman" w:eastAsia="굴림" w:hAnsi="Times New Roman" w:cs="Times New Roman"/>
                <w:kern w:val="0"/>
                <w:sz w:val="18"/>
                <w:szCs w:val="18"/>
              </w:rPr>
            </w:pPr>
            <w:r>
              <w:rPr>
                <w:rFonts w:ascii="Times New Roman" w:eastAsia="굴림" w:hAnsi="Times New Roman" w:cs="Times New Roman"/>
                <w:kern w:val="0"/>
                <w:sz w:val="18"/>
                <w:szCs w:val="18"/>
              </w:rPr>
              <w:t>ICM Size</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0.6938***</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0.9011***</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(5.00)</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(4.59)</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HHI</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-0.1253</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-0.1633</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-0.1553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-0.2207</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(-1.10)</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(-1.40)</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(-0.98)</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(-1.36)</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Size</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-0.7787***</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-0.7786***</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-0.5692***</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-0.5691***</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(-84.14)</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(-84.15)</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(-41.91)</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(-41.92)</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Leverage Ratio</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0.0027***</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0.0027***</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0.0032***</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0.0032***</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(8.58)</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(8.60)</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(7.19)</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(7.21)</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Profitability</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-0.2883***</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-0.2883***</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-0.0713***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-0.0713***</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(-22.66)</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(-22.66)</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(-3.83)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(-3.83)</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R&amp;D Intensity</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-1.6567***</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-1.6649***</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-0.9897</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-1.0038</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(-2.92)</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(-2.94)</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(-1.23)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(-1.24)</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Risk Free Rate</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-0.0465***</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-0.0453***</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0.0192*</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0.0213**</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(-6.30)</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(-6.09)</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(1.83)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(2.02)</w:t>
            </w:r>
          </w:p>
        </w:tc>
      </w:tr>
      <w:tr w:rsidR="00AE11E5" w:rsidRPr="004D53E2" w:rsidTr="00AE11E5">
        <w:trPr>
          <w:trHeight w:val="255"/>
        </w:trPr>
        <w:tc>
          <w:tcPr>
            <w:tcW w:w="1303" w:type="pct"/>
            <w:vMerge w:val="restart"/>
            <w:tcBorders>
              <w:top w:val="nil"/>
              <w:left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Constant</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9.2333***</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9.2118***</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8.2933***</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8.2564***</w:t>
            </w:r>
          </w:p>
        </w:tc>
      </w:tr>
      <w:tr w:rsidR="00AE11E5" w:rsidRPr="004D53E2" w:rsidTr="00AE11E5">
        <w:trPr>
          <w:trHeight w:val="255"/>
        </w:trPr>
        <w:tc>
          <w:tcPr>
            <w:tcW w:w="1303" w:type="pct"/>
            <w:vMerge/>
            <w:tcBorders>
              <w:left w:val="nil"/>
              <w:bottom w:val="nil"/>
              <w:right w:val="nil"/>
            </w:tcBorders>
            <w:shd w:val="clear" w:color="auto" w:fill="auto"/>
            <w:noWrap/>
            <w:vAlign w:val="center"/>
            <w:hideMark/>
          </w:tcPr>
          <w:p w:rsidR="00AE11E5" w:rsidRPr="004D53E2" w:rsidRDefault="00AE11E5" w:rsidP="00AE11E5">
            <w:pPr>
              <w:widowControl/>
              <w:wordWrap/>
              <w:autoSpaceDE/>
              <w:autoSpaceDN/>
              <w:spacing w:after="0" w:line="240" w:lineRule="auto"/>
              <w:rPr>
                <w:rFonts w:ascii="Times New Roman" w:eastAsia="굴림" w:hAnsi="Times New Roman" w:cs="Times New Roman"/>
                <w:kern w:val="0"/>
                <w:sz w:val="18"/>
                <w:szCs w:val="18"/>
              </w:rPr>
            </w:pP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(89.14)</w:t>
            </w:r>
          </w:p>
        </w:tc>
        <w:tc>
          <w:tcPr>
            <w:tcW w:w="925"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(87.99)</w:t>
            </w:r>
          </w:p>
        </w:tc>
        <w:tc>
          <w:tcPr>
            <w:tcW w:w="924"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(54.15)</w:t>
            </w:r>
          </w:p>
        </w:tc>
        <w:tc>
          <w:tcPr>
            <w:tcW w:w="923" w:type="pct"/>
            <w:tcBorders>
              <w:top w:val="nil"/>
              <w:left w:val="nil"/>
              <w:bottom w:val="nil"/>
              <w:right w:val="nil"/>
            </w:tcBorders>
            <w:shd w:val="clear" w:color="auto" w:fill="auto"/>
            <w:noWrap/>
            <w:vAlign w:val="bottom"/>
            <w:hideMark/>
          </w:tcPr>
          <w:p w:rsidR="00AE11E5" w:rsidRPr="004D53E2" w:rsidRDefault="00AE11E5"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(53.29)</w:t>
            </w:r>
          </w:p>
        </w:tc>
      </w:tr>
      <w:tr w:rsidR="00AE11E5" w:rsidRPr="004D53E2" w:rsidTr="00AE11E5">
        <w:trPr>
          <w:trHeight w:val="255"/>
        </w:trPr>
        <w:tc>
          <w:tcPr>
            <w:tcW w:w="1303" w:type="pct"/>
            <w:tcBorders>
              <w:top w:val="nil"/>
              <w:left w:val="nil"/>
              <w:bottom w:val="nil"/>
              <w:right w:val="nil"/>
            </w:tcBorders>
            <w:shd w:val="clear" w:color="auto" w:fill="auto"/>
            <w:noWrap/>
            <w:vAlign w:val="center"/>
            <w:hideMark/>
          </w:tcPr>
          <w:p w:rsidR="004D53E2" w:rsidRPr="004D53E2" w:rsidRDefault="003A4F08" w:rsidP="00AE11E5">
            <w:pPr>
              <w:widowControl/>
              <w:wordWrap/>
              <w:autoSpaceDE/>
              <w:autoSpaceDN/>
              <w:spacing w:after="0" w:line="240" w:lineRule="auto"/>
              <w:rPr>
                <w:rFonts w:ascii="Times New Roman" w:eastAsia="굴림" w:hAnsi="Times New Roman" w:cs="Times New Roman"/>
                <w:kern w:val="0"/>
                <w:sz w:val="18"/>
                <w:szCs w:val="18"/>
              </w:rPr>
            </w:pPr>
            <w:r>
              <w:rPr>
                <w:rFonts w:ascii="Times New Roman" w:eastAsia="굴림" w:hAnsi="Times New Roman" w:cs="Times New Roman"/>
                <w:kern w:val="0"/>
                <w:sz w:val="18"/>
                <w:szCs w:val="18"/>
              </w:rPr>
              <w:t xml:space="preserve">Year </w:t>
            </w:r>
            <w:r w:rsidR="004D53E2" w:rsidRPr="004D53E2">
              <w:rPr>
                <w:rFonts w:ascii="Times New Roman" w:eastAsia="굴림" w:hAnsi="Times New Roman" w:cs="Times New Roman"/>
                <w:kern w:val="0"/>
                <w:sz w:val="18"/>
                <w:szCs w:val="18"/>
              </w:rPr>
              <w:t>Effects</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r>
      <w:tr w:rsidR="00AE11E5" w:rsidRPr="004D53E2" w:rsidTr="00AE11E5">
        <w:trPr>
          <w:trHeight w:val="255"/>
        </w:trPr>
        <w:tc>
          <w:tcPr>
            <w:tcW w:w="1303" w:type="pct"/>
            <w:tcBorders>
              <w:top w:val="nil"/>
              <w:left w:val="nil"/>
              <w:bottom w:val="nil"/>
              <w:right w:val="nil"/>
            </w:tcBorders>
            <w:shd w:val="clear" w:color="auto" w:fill="auto"/>
            <w:noWrap/>
            <w:vAlign w:val="center"/>
            <w:hideMark/>
          </w:tcPr>
          <w:p w:rsidR="004D53E2" w:rsidRPr="004D53E2" w:rsidRDefault="003A4F08" w:rsidP="00AE11E5">
            <w:pPr>
              <w:widowControl/>
              <w:wordWrap/>
              <w:autoSpaceDE/>
              <w:autoSpaceDN/>
              <w:spacing w:after="0" w:line="240" w:lineRule="auto"/>
              <w:rPr>
                <w:rFonts w:ascii="Times New Roman" w:eastAsia="굴림" w:hAnsi="Times New Roman" w:cs="Times New Roman"/>
                <w:kern w:val="0"/>
                <w:sz w:val="18"/>
                <w:szCs w:val="18"/>
              </w:rPr>
            </w:pPr>
            <w:r>
              <w:rPr>
                <w:rFonts w:ascii="Times New Roman" w:eastAsia="굴림" w:hAnsi="Times New Roman" w:cs="Times New Roman"/>
                <w:kern w:val="0"/>
                <w:sz w:val="18"/>
                <w:szCs w:val="18"/>
              </w:rPr>
              <w:t xml:space="preserve">Firm </w:t>
            </w:r>
            <w:r w:rsidR="004D53E2" w:rsidRPr="004D53E2">
              <w:rPr>
                <w:rFonts w:ascii="Times New Roman" w:eastAsia="굴림" w:hAnsi="Times New Roman" w:cs="Times New Roman"/>
                <w:kern w:val="0"/>
                <w:sz w:val="18"/>
                <w:szCs w:val="18"/>
              </w:rPr>
              <w:t>Effects</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c>
          <w:tcPr>
            <w:tcW w:w="92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Yes</w:t>
            </w:r>
          </w:p>
        </w:tc>
      </w:tr>
      <w:tr w:rsidR="00AE11E5" w:rsidRPr="004D53E2" w:rsidTr="00AE11E5">
        <w:trPr>
          <w:trHeight w:val="255"/>
        </w:trPr>
        <w:tc>
          <w:tcPr>
            <w:tcW w:w="1303" w:type="pct"/>
            <w:tcBorders>
              <w:top w:val="nil"/>
              <w:left w:val="nil"/>
              <w:bottom w:val="nil"/>
              <w:right w:val="nil"/>
            </w:tcBorders>
            <w:shd w:val="clear" w:color="auto" w:fill="auto"/>
            <w:noWrap/>
            <w:vAlign w:val="center"/>
            <w:hideMark/>
          </w:tcPr>
          <w:p w:rsidR="004D53E2" w:rsidRPr="004D53E2" w:rsidRDefault="004D53E2" w:rsidP="00AE11E5">
            <w:pPr>
              <w:widowControl/>
              <w:wordWrap/>
              <w:autoSpaceDE/>
              <w:autoSpaceDN/>
              <w:spacing w:after="0" w:line="240" w:lineRule="auto"/>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Observations</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203,486</w:t>
            </w:r>
          </w:p>
        </w:tc>
        <w:tc>
          <w:tcPr>
            <w:tcW w:w="925"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203,486</w:t>
            </w:r>
          </w:p>
        </w:tc>
        <w:tc>
          <w:tcPr>
            <w:tcW w:w="924"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203,486</w:t>
            </w:r>
          </w:p>
        </w:tc>
        <w:tc>
          <w:tcPr>
            <w:tcW w:w="923" w:type="pct"/>
            <w:tcBorders>
              <w:top w:val="nil"/>
              <w:left w:val="nil"/>
              <w:bottom w:val="nil"/>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203,486</w:t>
            </w:r>
          </w:p>
        </w:tc>
      </w:tr>
      <w:tr w:rsidR="00AE11E5" w:rsidRPr="004D53E2" w:rsidTr="00AE11E5">
        <w:trPr>
          <w:trHeight w:val="255"/>
        </w:trPr>
        <w:tc>
          <w:tcPr>
            <w:tcW w:w="1303" w:type="pct"/>
            <w:tcBorders>
              <w:top w:val="nil"/>
              <w:left w:val="nil"/>
              <w:bottom w:val="single" w:sz="4" w:space="0" w:color="auto"/>
              <w:right w:val="nil"/>
            </w:tcBorders>
            <w:shd w:val="clear" w:color="auto" w:fill="auto"/>
            <w:noWrap/>
            <w:vAlign w:val="center"/>
            <w:hideMark/>
          </w:tcPr>
          <w:p w:rsidR="004D53E2" w:rsidRPr="004D53E2" w:rsidRDefault="003A4F08" w:rsidP="00AE11E5">
            <w:pPr>
              <w:widowControl/>
              <w:wordWrap/>
              <w:autoSpaceDE/>
              <w:autoSpaceDN/>
              <w:spacing w:after="0" w:line="240" w:lineRule="auto"/>
              <w:rPr>
                <w:rFonts w:ascii="Times New Roman" w:eastAsia="굴림" w:hAnsi="Times New Roman" w:cs="Times New Roman"/>
                <w:kern w:val="0"/>
                <w:sz w:val="18"/>
                <w:szCs w:val="18"/>
              </w:rPr>
            </w:pPr>
            <w:r>
              <w:rPr>
                <w:rFonts w:ascii="Times New Roman" w:eastAsia="굴림" w:hAnsi="Times New Roman" w:cs="Times New Roman"/>
                <w:kern w:val="0"/>
                <w:sz w:val="18"/>
                <w:szCs w:val="18"/>
              </w:rPr>
              <w:t>Within R^2</w:t>
            </w:r>
          </w:p>
        </w:tc>
        <w:tc>
          <w:tcPr>
            <w:tcW w:w="925"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0.2815</w:t>
            </w:r>
          </w:p>
        </w:tc>
        <w:tc>
          <w:tcPr>
            <w:tcW w:w="925"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0.2816</w:t>
            </w:r>
          </w:p>
        </w:tc>
        <w:tc>
          <w:tcPr>
            <w:tcW w:w="924"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0.0835</w:t>
            </w:r>
          </w:p>
        </w:tc>
        <w:tc>
          <w:tcPr>
            <w:tcW w:w="923" w:type="pct"/>
            <w:tcBorders>
              <w:top w:val="nil"/>
              <w:left w:val="nil"/>
              <w:bottom w:val="single" w:sz="4" w:space="0" w:color="auto"/>
              <w:right w:val="nil"/>
            </w:tcBorders>
            <w:shd w:val="clear" w:color="auto" w:fill="auto"/>
            <w:noWrap/>
            <w:vAlign w:val="bottom"/>
            <w:hideMark/>
          </w:tcPr>
          <w:p w:rsidR="004D53E2" w:rsidRPr="004D53E2" w:rsidRDefault="004D53E2" w:rsidP="004D53E2">
            <w:pPr>
              <w:widowControl/>
              <w:wordWrap/>
              <w:autoSpaceDE/>
              <w:autoSpaceDN/>
              <w:spacing w:after="0" w:line="240" w:lineRule="auto"/>
              <w:jc w:val="center"/>
              <w:rPr>
                <w:rFonts w:ascii="Times New Roman" w:eastAsia="굴림" w:hAnsi="Times New Roman" w:cs="Times New Roman"/>
                <w:kern w:val="0"/>
                <w:sz w:val="18"/>
                <w:szCs w:val="18"/>
              </w:rPr>
            </w:pPr>
            <w:r w:rsidRPr="004D53E2">
              <w:rPr>
                <w:rFonts w:ascii="Times New Roman" w:eastAsia="굴림" w:hAnsi="Times New Roman" w:cs="Times New Roman"/>
                <w:kern w:val="0"/>
                <w:sz w:val="18"/>
                <w:szCs w:val="18"/>
              </w:rPr>
              <w:t>0.0835</w:t>
            </w:r>
          </w:p>
        </w:tc>
      </w:tr>
    </w:tbl>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4D53E2" w:rsidRDefault="004D53E2" w:rsidP="003D699C">
      <w:pPr>
        <w:widowControl/>
        <w:wordWrap/>
        <w:autoSpaceDE/>
        <w:autoSpaceDN/>
        <w:rPr>
          <w:rFonts w:ascii="Times New Roman" w:hAnsi="Times New Roman" w:cs="Times New Roman"/>
          <w:szCs w:val="20"/>
        </w:rPr>
      </w:pPr>
    </w:p>
    <w:p w:rsidR="00C13B7D" w:rsidRDefault="00C13B7D" w:rsidP="003D699C">
      <w:pPr>
        <w:widowControl/>
        <w:wordWrap/>
        <w:autoSpaceDE/>
        <w:autoSpaceDN/>
        <w:rPr>
          <w:rFonts w:ascii="Times New Roman" w:hAnsi="Times New Roman" w:cs="Times New Roman"/>
          <w:szCs w:val="20"/>
        </w:rPr>
        <w:sectPr w:rsidR="00C13B7D" w:rsidSect="004D53E2">
          <w:pgSz w:w="11906" w:h="16838"/>
          <w:pgMar w:top="1440" w:right="1440" w:bottom="1440" w:left="1440" w:header="720" w:footer="720" w:gutter="0"/>
          <w:pgNumType w:fmt="numberInDash"/>
          <w:cols w:space="720"/>
          <w:docGrid w:linePitch="360"/>
        </w:sectPr>
      </w:pP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07"/>
        <w:gridCol w:w="365"/>
        <w:gridCol w:w="1252"/>
        <w:gridCol w:w="848"/>
        <w:gridCol w:w="777"/>
        <w:gridCol w:w="1324"/>
        <w:gridCol w:w="298"/>
        <w:gridCol w:w="1622"/>
        <w:gridCol w:w="181"/>
        <w:gridCol w:w="1440"/>
        <w:gridCol w:w="661"/>
        <w:gridCol w:w="961"/>
        <w:gridCol w:w="1140"/>
        <w:gridCol w:w="482"/>
        <w:gridCol w:w="1616"/>
      </w:tblGrid>
      <w:tr w:rsidR="008D608A" w:rsidRPr="008D608A" w:rsidTr="003A4F08">
        <w:trPr>
          <w:trHeight w:val="255"/>
        </w:trPr>
        <w:tc>
          <w:tcPr>
            <w:tcW w:w="5000" w:type="pct"/>
            <w:gridSpan w:val="15"/>
            <w:noWrap/>
            <w:hideMark/>
          </w:tcPr>
          <w:p w:rsidR="008D608A" w:rsidRPr="008D608A" w:rsidRDefault="00D01EDF" w:rsidP="00267B32">
            <w:pPr>
              <w:widowControl/>
              <w:wordWrap/>
              <w:autoSpaceDE/>
              <w:autoSpaceDN/>
              <w:jc w:val="left"/>
              <w:rPr>
                <w:rFonts w:ascii="Times New Roman" w:eastAsia="굴림" w:hAnsi="Times New Roman" w:cs="Times New Roman"/>
                <w:b/>
                <w:kern w:val="0"/>
                <w:sz w:val="16"/>
                <w:szCs w:val="16"/>
              </w:rPr>
            </w:pPr>
            <w:r>
              <w:rPr>
                <w:rFonts w:ascii="Times New Roman" w:eastAsia="굴림" w:hAnsi="Times New Roman" w:cs="Times New Roman"/>
                <w:b/>
                <w:kern w:val="0"/>
                <w:sz w:val="16"/>
                <w:szCs w:val="16"/>
              </w:rPr>
              <w:lastRenderedPageBreak/>
              <w:t>Table 5. Non-member F</w:t>
            </w:r>
            <w:r w:rsidR="008D608A" w:rsidRPr="008D608A">
              <w:rPr>
                <w:rFonts w:ascii="Times New Roman" w:eastAsia="굴림" w:hAnsi="Times New Roman" w:cs="Times New Roman"/>
                <w:b/>
                <w:kern w:val="0"/>
                <w:sz w:val="16"/>
                <w:szCs w:val="16"/>
              </w:rPr>
              <w:t>irms’ Financial Constraint and Business Group’s Influence on Financial Distress Risk (Cutoff Point: Median Value)</w:t>
            </w:r>
          </w:p>
        </w:tc>
      </w:tr>
      <w:tr w:rsidR="008D608A" w:rsidRPr="008D608A" w:rsidTr="003A4F08">
        <w:trPr>
          <w:trHeight w:val="255"/>
        </w:trPr>
        <w:tc>
          <w:tcPr>
            <w:tcW w:w="5000" w:type="pct"/>
            <w:gridSpan w:val="15"/>
            <w:tcBorders>
              <w:bottom w:val="single" w:sz="4" w:space="0" w:color="000000"/>
            </w:tcBorders>
            <w:noWrap/>
            <w:hideMark/>
          </w:tcPr>
          <w:p w:rsidR="008D608A" w:rsidRPr="008D608A" w:rsidRDefault="008D608A" w:rsidP="00D01EDF">
            <w:pPr>
              <w:widowControl/>
              <w:wordWrap/>
              <w:autoSpaceDE/>
              <w:autoSpaceDN/>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This table reports the results that compare the impact of business group influence on financial distress risk between non-member firms with high and low level of financial constraint. Following existing literature, we use tangibility ratio as proxy for financial constraint (high tangibility firm has lower financial constraint). More specifically, we identity the median tangibility ratio for non-member firms in each year, and non-member firms whose tangibility ratios below (above) the median value are selected into the low (high) tangibility sample. In order to measure firm’s financial distress risk, accounting information based KM-score (Multiple discri</w:t>
            </w:r>
            <w:r w:rsidR="00D01EDF">
              <w:rPr>
                <w:rFonts w:ascii="Times New Roman" w:eastAsia="굴림" w:hAnsi="Times New Roman" w:cs="Times New Roman"/>
                <w:kern w:val="0"/>
                <w:sz w:val="16"/>
                <w:szCs w:val="16"/>
              </w:rPr>
              <w:t>minant analysis) and KL-score (L</w:t>
            </w:r>
            <w:r w:rsidRPr="008D608A">
              <w:rPr>
                <w:rFonts w:ascii="Times New Roman" w:eastAsia="굴림" w:hAnsi="Times New Roman" w:cs="Times New Roman"/>
                <w:kern w:val="0"/>
                <w:sz w:val="16"/>
                <w:szCs w:val="16"/>
              </w:rPr>
              <w:t xml:space="preserve">ogit regression analysis) are used. To proxy for industry wide business group influence, the business group strength and dominance index (BSDI), developed by </w:t>
            </w:r>
            <w:r w:rsidR="00886B05" w:rsidRPr="008D608A">
              <w:rPr>
                <w:rFonts w:ascii="Times New Roman" w:eastAsia="굴림" w:hAnsi="Times New Roman" w:cs="Times New Roman"/>
                <w:kern w:val="0"/>
                <w:sz w:val="16"/>
                <w:szCs w:val="16"/>
              </w:rPr>
              <w:fldChar w:fldCharType="begin"/>
            </w:r>
            <w:r w:rsidRPr="008D608A">
              <w:rPr>
                <w:rFonts w:ascii="Times New Roman" w:eastAsia="굴림" w:hAnsi="Times New Roman" w:cs="Times New Roman"/>
                <w:kern w:val="0"/>
                <w:sz w:val="16"/>
                <w:szCs w:val="16"/>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8D608A">
              <w:rPr>
                <w:rFonts w:ascii="Times New Roman" w:eastAsia="굴림" w:hAnsi="Times New Roman" w:cs="Times New Roman"/>
                <w:kern w:val="0"/>
                <w:sz w:val="16"/>
                <w:szCs w:val="16"/>
              </w:rPr>
              <w:fldChar w:fldCharType="separate"/>
            </w:r>
            <w:hyperlink w:anchor="_ENREF_1" w:tooltip="Liu, 2016 #130" w:history="1">
              <w:r w:rsidRPr="008D608A">
                <w:rPr>
                  <w:rFonts w:ascii="Times New Roman" w:eastAsia="굴림" w:hAnsi="Times New Roman" w:cs="Times New Roman"/>
                  <w:noProof/>
                  <w:kern w:val="0"/>
                  <w:sz w:val="16"/>
                  <w:szCs w:val="16"/>
                </w:rPr>
                <w:t>Liu et al. (2016</w:t>
              </w:r>
            </w:hyperlink>
            <w:r w:rsidRPr="008D608A">
              <w:rPr>
                <w:rFonts w:ascii="Times New Roman" w:eastAsia="굴림" w:hAnsi="Times New Roman" w:cs="Times New Roman"/>
                <w:noProof/>
                <w:kern w:val="0"/>
                <w:sz w:val="16"/>
                <w:szCs w:val="16"/>
              </w:rPr>
              <w:t>)</w:t>
            </w:r>
            <w:r w:rsidR="00886B05" w:rsidRPr="008D608A">
              <w:rPr>
                <w:rFonts w:ascii="Times New Roman" w:eastAsia="굴림" w:hAnsi="Times New Roman" w:cs="Times New Roman"/>
                <w:kern w:val="0"/>
                <w:sz w:val="16"/>
                <w:szCs w:val="16"/>
              </w:rPr>
              <w:fldChar w:fldCharType="end"/>
            </w:r>
            <w:r w:rsidRPr="008D608A">
              <w:rPr>
                <w:rFonts w:ascii="Times New Roman" w:eastAsia="굴림" w:hAnsi="Times New Roman" w:cs="Times New Roman"/>
                <w:kern w:val="0"/>
                <w:sz w:val="16"/>
                <w:szCs w:val="16"/>
              </w:rPr>
              <w:t xml:space="preserve">, is used. The BSDI is also decomposed into two orthogonal components: BG MKT Share and ICM size, so that we can evaluate their effects separately. The former is related to member firms’ market share within an industry and the latter is related to the size of internal capital market member firms possess in the same industry. We also control for variables that are known to be determinants of firm’s financial distress risk by previous studies, including: the </w:t>
            </w:r>
            <w:proofErr w:type="spellStart"/>
            <w:r w:rsidRPr="008D608A">
              <w:rPr>
                <w:rFonts w:ascii="Times New Roman" w:eastAsia="굴림" w:hAnsi="Times New Roman" w:cs="Times New Roman"/>
                <w:kern w:val="0"/>
                <w:sz w:val="16"/>
                <w:szCs w:val="16"/>
              </w:rPr>
              <w:t>Herfindahl</w:t>
            </w:r>
            <w:proofErr w:type="spellEnd"/>
            <w:r w:rsidRPr="008D608A">
              <w:rPr>
                <w:rFonts w:ascii="Times New Roman" w:eastAsia="굴림" w:hAnsi="Times New Roman" w:cs="Times New Roman"/>
                <w:kern w:val="0"/>
                <w:sz w:val="16"/>
                <w:szCs w:val="16"/>
              </w:rPr>
              <w:t xml:space="preserve">-Hirschman index (HHI), size, leverage, profitability, R&amp;D intensity and risk free rate. Regression results are reported in Panel A. Panel B </w:t>
            </w:r>
            <w:r w:rsidRPr="008D608A">
              <w:rPr>
                <w:rFonts w:ascii="Times New Roman" w:eastAsia="맑은 고딕" w:hAnsi="Times New Roman" w:cs="Times New Roman"/>
                <w:color w:val="000000"/>
                <w:kern w:val="0"/>
                <w:sz w:val="16"/>
                <w:szCs w:val="16"/>
              </w:rPr>
              <w:t xml:space="preserve">reports the results of Z tests that compare the influence of business group between subsamples of non-member firms with low and high tangibility ratio. More specifically, for the coefficients of the same business group influence measure (BSDI and its two orthogonal components: BG MKT Share and ICM size) between the two subsamples, we calculate their difference and test whether this difference is different from zero based on the Z test developed by </w:t>
            </w:r>
            <w:proofErr w:type="spellStart"/>
            <w:r w:rsidRPr="008D608A">
              <w:rPr>
                <w:rFonts w:ascii="Times New Roman" w:eastAsia="맑은 고딕" w:hAnsi="Times New Roman" w:cs="Times New Roman"/>
                <w:color w:val="000000"/>
                <w:kern w:val="0"/>
                <w:sz w:val="16"/>
                <w:szCs w:val="16"/>
              </w:rPr>
              <w:t>Clogg</w:t>
            </w:r>
            <w:proofErr w:type="spellEnd"/>
            <w:r w:rsidRPr="008D608A">
              <w:rPr>
                <w:rFonts w:ascii="Times New Roman" w:eastAsia="맑은 고딕" w:hAnsi="Times New Roman" w:cs="Times New Roman"/>
                <w:color w:val="000000"/>
                <w:kern w:val="0"/>
                <w:sz w:val="16"/>
                <w:szCs w:val="16"/>
              </w:rPr>
              <w:t xml:space="preserve"> et al. (1995). </w:t>
            </w:r>
            <w:r w:rsidRPr="008D608A">
              <w:rPr>
                <w:rFonts w:ascii="Times New Roman" w:eastAsia="굴림" w:hAnsi="Times New Roman" w:cs="Times New Roman"/>
                <w:kern w:val="0"/>
                <w:sz w:val="16"/>
                <w:szCs w:val="16"/>
              </w:rPr>
              <w:t xml:space="preserve">For more detailed variable definition, please refer to Section </w:t>
            </w:r>
            <w:r w:rsidR="00886B05">
              <w:rPr>
                <w:rFonts w:ascii="Times New Roman" w:eastAsia="굴림" w:hAnsi="Times New Roman" w:cs="Times New Roman"/>
                <w:kern w:val="0"/>
                <w:sz w:val="16"/>
                <w:szCs w:val="16"/>
              </w:rPr>
              <w:fldChar w:fldCharType="begin"/>
            </w:r>
            <w:r w:rsidR="00D01EDF">
              <w:rPr>
                <w:rFonts w:ascii="Times New Roman" w:eastAsia="SimSun" w:hAnsi="Times New Roman" w:cs="Times New Roman"/>
                <w:kern w:val="0"/>
                <w:sz w:val="16"/>
                <w:szCs w:val="16"/>
                <w:lang w:eastAsia="zh-CN"/>
              </w:rPr>
              <w:instrText xml:space="preserve"> </w:instrText>
            </w:r>
            <w:r w:rsidR="00D01EDF">
              <w:rPr>
                <w:rFonts w:ascii="Times New Roman" w:eastAsia="SimSun" w:hAnsi="Times New Roman" w:cs="Times New Roman" w:hint="eastAsia"/>
                <w:kern w:val="0"/>
                <w:sz w:val="16"/>
                <w:szCs w:val="16"/>
                <w:lang w:eastAsia="zh-CN"/>
              </w:rPr>
              <w:instrText>= 3 \* ROMAN</w:instrText>
            </w:r>
            <w:r w:rsidR="00D01EDF">
              <w:rPr>
                <w:rFonts w:ascii="Times New Roman" w:eastAsia="SimSun" w:hAnsi="Times New Roman" w:cs="Times New Roman"/>
                <w:kern w:val="0"/>
                <w:sz w:val="16"/>
                <w:szCs w:val="16"/>
                <w:lang w:eastAsia="zh-CN"/>
              </w:rPr>
              <w:instrText xml:space="preserve"> </w:instrText>
            </w:r>
            <w:r w:rsidR="00886B05">
              <w:rPr>
                <w:rFonts w:ascii="Times New Roman" w:eastAsia="굴림" w:hAnsi="Times New Roman" w:cs="Times New Roman"/>
                <w:kern w:val="0"/>
                <w:sz w:val="16"/>
                <w:szCs w:val="16"/>
              </w:rPr>
              <w:fldChar w:fldCharType="separate"/>
            </w:r>
            <w:r w:rsidR="00D01EDF">
              <w:rPr>
                <w:rFonts w:ascii="Times New Roman" w:eastAsia="SimSun" w:hAnsi="Times New Roman" w:cs="Times New Roman"/>
                <w:noProof/>
                <w:kern w:val="0"/>
                <w:sz w:val="16"/>
                <w:szCs w:val="16"/>
                <w:lang w:eastAsia="zh-CN"/>
              </w:rPr>
              <w:t>III</w:t>
            </w:r>
            <w:r w:rsidR="00886B05">
              <w:rPr>
                <w:rFonts w:ascii="Times New Roman" w:eastAsia="굴림" w:hAnsi="Times New Roman" w:cs="Times New Roman"/>
                <w:kern w:val="0"/>
                <w:sz w:val="16"/>
                <w:szCs w:val="16"/>
              </w:rPr>
              <w:fldChar w:fldCharType="end"/>
            </w:r>
            <w:r w:rsidRPr="008D608A">
              <w:rPr>
                <w:rFonts w:ascii="Times New Roman" w:eastAsia="굴림" w:hAnsi="Times New Roman" w:cs="Times New Roman"/>
                <w:kern w:val="0"/>
                <w:sz w:val="16"/>
                <w:szCs w:val="16"/>
              </w:rPr>
              <w:t>.</w:t>
            </w:r>
            <w:r w:rsidRPr="008D608A">
              <w:rPr>
                <w:rFonts w:ascii="Times New Roman" w:eastAsia="맑은 고딕" w:hAnsi="Times New Roman" w:cs="Times New Roman"/>
                <w:color w:val="000000"/>
                <w:kern w:val="0"/>
                <w:sz w:val="16"/>
                <w:szCs w:val="16"/>
              </w:rPr>
              <w:t xml:space="preserve"> </w:t>
            </w:r>
            <w:r w:rsidRPr="008D608A">
              <w:rPr>
                <w:rFonts w:ascii="Times New Roman" w:eastAsia="굴림" w:hAnsi="Times New Roman" w:cs="Times New Roman"/>
                <w:kern w:val="0"/>
                <w:sz w:val="16"/>
                <w:szCs w:val="16"/>
              </w:rPr>
              <w:t xml:space="preserve">Numbers in the parentheses are firm level clustered robust t statistic. </w:t>
            </w:r>
            <w:r w:rsidRPr="008D608A">
              <w:rPr>
                <w:rFonts w:ascii="Times New Roman" w:eastAsia="맑은 고딕" w:hAnsi="Times New Roman" w:cs="Times New Roman"/>
                <w:color w:val="000000"/>
                <w:kern w:val="0"/>
                <w:sz w:val="16"/>
                <w:szCs w:val="16"/>
              </w:rPr>
              <w:t xml:space="preserve">Numbers in the brackets are Z test statistics. </w:t>
            </w:r>
            <w:r w:rsidRPr="008D608A">
              <w:rPr>
                <w:rFonts w:ascii="Times New Roman" w:eastAsia="굴림" w:hAnsi="Times New Roman" w:cs="Times New Roman"/>
                <w:kern w:val="0"/>
                <w:sz w:val="16"/>
                <w:szCs w:val="16"/>
              </w:rPr>
              <w:t xml:space="preserve">*,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6"/>
                <w:szCs w:val="16"/>
              </w:rPr>
              <w:t>is</w:t>
            </w:r>
            <w:r w:rsidRPr="008D608A">
              <w:rPr>
                <w:rFonts w:ascii="Times New Roman" w:eastAsia="굴림" w:hAnsi="Times New Roman" w:cs="Times New Roman"/>
                <w:kern w:val="0"/>
                <w:sz w:val="16"/>
                <w:szCs w:val="16"/>
              </w:rPr>
              <w:t xml:space="preserve"> excluded from the sample.</w:t>
            </w:r>
          </w:p>
        </w:tc>
      </w:tr>
      <w:tr w:rsidR="008D608A" w:rsidRPr="008D608A" w:rsidTr="00D01EDF">
        <w:trPr>
          <w:trHeight w:val="255"/>
        </w:trPr>
        <w:tc>
          <w:tcPr>
            <w:tcW w:w="426" w:type="pct"/>
            <w:tcBorders>
              <w:top w:val="single" w:sz="4" w:space="0" w:color="000000"/>
            </w:tcBorders>
            <w:noWrap/>
            <w:hideMark/>
          </w:tcPr>
          <w:p w:rsidR="008D608A" w:rsidRPr="008D608A" w:rsidRDefault="008D608A" w:rsidP="00267B32">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 xml:space="preserve">　</w:t>
            </w:r>
          </w:p>
        </w:tc>
        <w:tc>
          <w:tcPr>
            <w:tcW w:w="2288" w:type="pct"/>
            <w:gridSpan w:val="7"/>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Low Tangibility</w:t>
            </w:r>
          </w:p>
        </w:tc>
        <w:tc>
          <w:tcPr>
            <w:tcW w:w="2286" w:type="pct"/>
            <w:gridSpan w:val="7"/>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High Tangibility</w:t>
            </w:r>
          </w:p>
        </w:tc>
      </w:tr>
      <w:tr w:rsidR="008D608A" w:rsidRPr="008D608A" w:rsidTr="00D01EDF">
        <w:trPr>
          <w:trHeight w:val="255"/>
        </w:trPr>
        <w:tc>
          <w:tcPr>
            <w:tcW w:w="426" w:type="pct"/>
            <w:noWrap/>
            <w:hideMark/>
          </w:tcPr>
          <w:p w:rsidR="008D608A" w:rsidRPr="008D608A" w:rsidRDefault="008D608A" w:rsidP="00267B32">
            <w:pPr>
              <w:widowControl/>
              <w:wordWrap/>
              <w:autoSpaceDE/>
              <w:autoSpaceDN/>
              <w:jc w:val="left"/>
              <w:rPr>
                <w:rFonts w:ascii="Times New Roman" w:eastAsia="굴림" w:hAnsi="Times New Roman" w:cs="Times New Roman"/>
                <w:kern w:val="0"/>
                <w:sz w:val="16"/>
                <w:szCs w:val="16"/>
              </w:rPr>
            </w:pPr>
          </w:p>
        </w:tc>
        <w:tc>
          <w:tcPr>
            <w:tcW w:w="1144" w:type="pct"/>
            <w:gridSpan w:val="4"/>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KL-score</w:t>
            </w:r>
          </w:p>
        </w:tc>
        <w:tc>
          <w:tcPr>
            <w:tcW w:w="1144" w:type="pct"/>
            <w:gridSpan w:val="3"/>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KM-score</w:t>
            </w:r>
          </w:p>
        </w:tc>
        <w:tc>
          <w:tcPr>
            <w:tcW w:w="1144" w:type="pct"/>
            <w:gridSpan w:val="4"/>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KL-score</w:t>
            </w:r>
          </w:p>
        </w:tc>
        <w:tc>
          <w:tcPr>
            <w:tcW w:w="1142" w:type="pct"/>
            <w:gridSpan w:val="3"/>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KM-score</w:t>
            </w:r>
          </w:p>
        </w:tc>
      </w:tr>
      <w:tr w:rsidR="008D608A" w:rsidRPr="008D608A" w:rsidTr="00D01EDF">
        <w:trPr>
          <w:trHeight w:val="255"/>
        </w:trPr>
        <w:tc>
          <w:tcPr>
            <w:tcW w:w="426" w:type="pct"/>
            <w:tcBorders>
              <w:bottom w:val="single" w:sz="4" w:space="0" w:color="000000"/>
            </w:tcBorders>
            <w:noWrap/>
          </w:tcPr>
          <w:p w:rsidR="008D608A" w:rsidRPr="008D608A" w:rsidRDefault="008D608A" w:rsidP="00267B32">
            <w:pPr>
              <w:widowControl/>
              <w:wordWrap/>
              <w:autoSpaceDE/>
              <w:autoSpaceDN/>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VARIABLES</w:t>
            </w:r>
          </w:p>
        </w:tc>
        <w:tc>
          <w:tcPr>
            <w:tcW w:w="571"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w:t>
            </w:r>
          </w:p>
        </w:tc>
        <w:tc>
          <w:tcPr>
            <w:tcW w:w="572"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w:t>
            </w:r>
          </w:p>
        </w:tc>
        <w:tc>
          <w:tcPr>
            <w:tcW w:w="572"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w:t>
            </w:r>
          </w:p>
        </w:tc>
        <w:tc>
          <w:tcPr>
            <w:tcW w:w="572" w:type="pct"/>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w:t>
            </w:r>
          </w:p>
        </w:tc>
        <w:tc>
          <w:tcPr>
            <w:tcW w:w="572"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w:t>
            </w:r>
          </w:p>
        </w:tc>
        <w:tc>
          <w:tcPr>
            <w:tcW w:w="572"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w:t>
            </w:r>
          </w:p>
        </w:tc>
        <w:tc>
          <w:tcPr>
            <w:tcW w:w="572"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(7)</w:t>
            </w:r>
          </w:p>
        </w:tc>
        <w:tc>
          <w:tcPr>
            <w:tcW w:w="570" w:type="pct"/>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(8)</w:t>
            </w:r>
          </w:p>
        </w:tc>
      </w:tr>
      <w:tr w:rsidR="008D608A" w:rsidRPr="008D608A" w:rsidTr="003A4F08">
        <w:trPr>
          <w:trHeight w:val="255"/>
        </w:trPr>
        <w:tc>
          <w:tcPr>
            <w:tcW w:w="5000" w:type="pct"/>
            <w:gridSpan w:val="15"/>
            <w:tcBorders>
              <w:top w:val="single" w:sz="4" w:space="0" w:color="000000"/>
              <w:bottom w:val="single" w:sz="4" w:space="0" w:color="000000"/>
            </w:tcBorders>
            <w:noWrap/>
          </w:tcPr>
          <w:p w:rsidR="008D608A" w:rsidRPr="008D608A" w:rsidRDefault="008D608A" w:rsidP="00267B32">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Panel A: Regression Results</w:t>
            </w:r>
          </w:p>
        </w:tc>
      </w:tr>
      <w:tr w:rsidR="008D608A" w:rsidRPr="008D608A" w:rsidTr="00D01EDF">
        <w:trPr>
          <w:trHeight w:val="255"/>
        </w:trPr>
        <w:tc>
          <w:tcPr>
            <w:tcW w:w="426" w:type="pct"/>
            <w:vMerge w:val="restart"/>
            <w:tcBorders>
              <w:top w:val="single" w:sz="4" w:space="0" w:color="000000"/>
            </w:tcBorders>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BSDI</w:t>
            </w:r>
          </w:p>
        </w:tc>
        <w:tc>
          <w:tcPr>
            <w:tcW w:w="571"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0.9751***</w:t>
            </w:r>
          </w:p>
        </w:tc>
        <w:tc>
          <w:tcPr>
            <w:tcW w:w="572"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1.4219***</w:t>
            </w:r>
          </w:p>
        </w:tc>
        <w:tc>
          <w:tcPr>
            <w:tcW w:w="572" w:type="pct"/>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0.5313***</w:t>
            </w:r>
          </w:p>
        </w:tc>
        <w:tc>
          <w:tcPr>
            <w:tcW w:w="572"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0.5964**</w:t>
            </w:r>
          </w:p>
        </w:tc>
        <w:tc>
          <w:tcPr>
            <w:tcW w:w="570" w:type="pct"/>
            <w:tcBorders>
              <w:top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(5.94)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(6.38)</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(3.02)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(2.35)</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r>
      <w:tr w:rsidR="00D01EDF" w:rsidRPr="008D608A"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BG MKT Share</w:t>
            </w:r>
          </w:p>
        </w:tc>
        <w:tc>
          <w:tcPr>
            <w:tcW w:w="571"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0.9293***</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1.5389***</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0.5812**</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0.7386*</w:t>
            </w:r>
          </w:p>
        </w:tc>
      </w:tr>
      <w:tr w:rsidR="00D01EDF" w:rsidRPr="008D608A" w:rsidTr="00D01EDF">
        <w:trPr>
          <w:trHeight w:val="255"/>
        </w:trPr>
        <w:tc>
          <w:tcPr>
            <w:tcW w:w="426" w:type="pct"/>
            <w:vMerge/>
            <w:noWrap/>
            <w:vAlign w:val="center"/>
            <w:hideMark/>
          </w:tcPr>
          <w:p w:rsidR="00D01EDF" w:rsidRPr="008D608A" w:rsidRDefault="00D01EDF" w:rsidP="00D01EDF">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(3.05)</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(3.67)</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(2.11)</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(1.89)</w:t>
            </w:r>
          </w:p>
        </w:tc>
      </w:tr>
      <w:tr w:rsidR="00D01EDF" w:rsidRPr="008D608A"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ICM Size</w:t>
            </w:r>
          </w:p>
        </w:tc>
        <w:tc>
          <w:tcPr>
            <w:tcW w:w="571"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0.9990***</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1.3610***</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0.5066**</w:t>
            </w:r>
          </w:p>
        </w:tc>
        <w:tc>
          <w:tcPr>
            <w:tcW w:w="572" w:type="pct"/>
            <w:gridSpan w:val="2"/>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hideMark/>
          </w:tcPr>
          <w:p w:rsidR="00D01EDF" w:rsidRPr="008D608A" w:rsidRDefault="00D01EDF"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0.5262*</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(5.16)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(5.04)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(2.39)</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(1.73)</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HHI</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-0.1107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-0.1037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-0.2286</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-0.2464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-0.1802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-0.1915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0.0004</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-0.0318</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(-0.71)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(-0.64)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(-1.05)</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(-1.05)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(-0.13)</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Size</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-0.8170***</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-0.8170***</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-0.6264***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-0.6263***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-0.8384***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-0.8384***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-0.6329***</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-0.6328***</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(-65.96)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(-66.04)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(-34.85)</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(-34.87)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(-58.63)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(-58.64)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(-29.83)</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(-29.83)</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Leverage Ratio</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0.0035***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0.0035***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0.0044***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0.0044***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0.0012***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0.0012***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0.0011**</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0.0011**</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(6.13)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(6.13)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(5.49)</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(5.49)</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(3.68)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(3.68)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(2.37)</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(2.37)</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Profitability</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-0.2462***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-0.2462***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0.0033</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0.0033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-0.2708***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-0.2708***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-0.0740***</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-0.0741***</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(-14.76)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(-14.76)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(0.13)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(-14.29)</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(-14.29)</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(-2.62)</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(-2.63)</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R&amp;D Intensity</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-1.1294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-1.1274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-0.2556</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-0.2608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-2.9426***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-2.9450***</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-3.2291***</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-3.2360***</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(-1.52)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(-1.51)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(-3.43)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(-3.43)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(-2.60)</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(-2.60)</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Risk Free Rate</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-0.0745***</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-0.0748***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-0.0184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-0.0177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-0.0428***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-0.0424***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0.0215</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0.0224</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(-6.56)</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(-6.58)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(-1.16)</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(-1.11)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(-4.13)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(-4.07)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(1.46)</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(1.51)</w:t>
            </w:r>
          </w:p>
        </w:tc>
      </w:tr>
      <w:tr w:rsidR="008D608A" w:rsidRPr="008D608A" w:rsidTr="00D01EDF">
        <w:trPr>
          <w:trHeight w:val="255"/>
        </w:trPr>
        <w:tc>
          <w:tcPr>
            <w:tcW w:w="426" w:type="pct"/>
            <w:vMerge w:val="restar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Constant</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9.4362***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9.4418***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8.6422***</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8.6281***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10.0618***</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10.0567***</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9.2897***</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9.2753***</w:t>
            </w:r>
          </w:p>
        </w:tc>
      </w:tr>
      <w:tr w:rsidR="008D608A" w:rsidRPr="008D608A" w:rsidTr="00D01EDF">
        <w:trPr>
          <w:trHeight w:val="255"/>
        </w:trPr>
        <w:tc>
          <w:tcPr>
            <w:tcW w:w="426" w:type="pct"/>
            <w:vMerge/>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(67.40)</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(66.82)</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(42.09)</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(41.63)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(64.71)</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(64.23)</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(40.26)</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(39.96)</w:t>
            </w:r>
          </w:p>
        </w:tc>
      </w:tr>
      <w:tr w:rsidR="008D608A" w:rsidRPr="008D608A" w:rsidTr="00D01EDF">
        <w:trPr>
          <w:trHeight w:val="255"/>
        </w:trPr>
        <w:tc>
          <w:tcPr>
            <w:tcW w:w="426" w:type="pc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lastRenderedPageBreak/>
              <w:t>Year Effects</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r>
      <w:tr w:rsidR="008D608A" w:rsidRPr="008D608A" w:rsidTr="00D01EDF">
        <w:trPr>
          <w:trHeight w:val="255"/>
        </w:trPr>
        <w:tc>
          <w:tcPr>
            <w:tcW w:w="426" w:type="pc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Firm Effects</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Yes</w:t>
            </w:r>
          </w:p>
        </w:tc>
      </w:tr>
      <w:tr w:rsidR="008D608A" w:rsidRPr="008D608A" w:rsidTr="00D01EDF">
        <w:trPr>
          <w:trHeight w:val="255"/>
        </w:trPr>
        <w:tc>
          <w:tcPr>
            <w:tcW w:w="426" w:type="pct"/>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Observations</w:t>
            </w:r>
          </w:p>
        </w:tc>
        <w:tc>
          <w:tcPr>
            <w:tcW w:w="571"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97,544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97,544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97,544</w:t>
            </w:r>
          </w:p>
        </w:tc>
        <w:tc>
          <w:tcPr>
            <w:tcW w:w="572"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97,544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97,554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97,554</w:t>
            </w:r>
          </w:p>
        </w:tc>
        <w:tc>
          <w:tcPr>
            <w:tcW w:w="572" w:type="pct"/>
            <w:gridSpan w:val="2"/>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97,554</w:t>
            </w:r>
          </w:p>
        </w:tc>
        <w:tc>
          <w:tcPr>
            <w:tcW w:w="570" w:type="pct"/>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97,554</w:t>
            </w:r>
          </w:p>
        </w:tc>
      </w:tr>
      <w:tr w:rsidR="008D608A" w:rsidRPr="008D608A" w:rsidTr="00D01EDF">
        <w:trPr>
          <w:trHeight w:val="255"/>
        </w:trPr>
        <w:tc>
          <w:tcPr>
            <w:tcW w:w="426" w:type="pct"/>
            <w:tcBorders>
              <w:bottom w:val="single" w:sz="4" w:space="0" w:color="000000"/>
            </w:tcBorders>
            <w:noWrap/>
            <w:vAlign w:val="center"/>
            <w:hideMark/>
          </w:tcPr>
          <w:p w:rsidR="008D608A" w:rsidRPr="008D608A" w:rsidRDefault="008D608A" w:rsidP="003A4F08">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Within R^2</w:t>
            </w:r>
          </w:p>
        </w:tc>
        <w:tc>
          <w:tcPr>
            <w:tcW w:w="571"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0.3072</w:t>
            </w:r>
          </w:p>
        </w:tc>
        <w:tc>
          <w:tcPr>
            <w:tcW w:w="572"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0.3072</w:t>
            </w:r>
          </w:p>
        </w:tc>
        <w:tc>
          <w:tcPr>
            <w:tcW w:w="572"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0.0958</w:t>
            </w:r>
          </w:p>
        </w:tc>
        <w:tc>
          <w:tcPr>
            <w:tcW w:w="572" w:type="pct"/>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0.0958</w:t>
            </w:r>
          </w:p>
        </w:tc>
        <w:tc>
          <w:tcPr>
            <w:tcW w:w="572"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0.2759</w:t>
            </w:r>
          </w:p>
        </w:tc>
        <w:tc>
          <w:tcPr>
            <w:tcW w:w="572"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0.2759</w:t>
            </w:r>
          </w:p>
        </w:tc>
        <w:tc>
          <w:tcPr>
            <w:tcW w:w="572" w:type="pct"/>
            <w:gridSpan w:val="2"/>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0.0883</w:t>
            </w:r>
          </w:p>
        </w:tc>
        <w:tc>
          <w:tcPr>
            <w:tcW w:w="570" w:type="pct"/>
            <w:tcBorders>
              <w:bottom w:val="single" w:sz="4" w:space="0" w:color="000000"/>
            </w:tcBorders>
            <w:noWrap/>
            <w:hideMark/>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0.0883</w:t>
            </w:r>
          </w:p>
        </w:tc>
      </w:tr>
      <w:tr w:rsidR="008D608A" w:rsidRPr="008D608A" w:rsidTr="003A4F08">
        <w:trPr>
          <w:trHeight w:val="255"/>
        </w:trPr>
        <w:tc>
          <w:tcPr>
            <w:tcW w:w="5000" w:type="pct"/>
            <w:gridSpan w:val="15"/>
            <w:tcBorders>
              <w:top w:val="single" w:sz="4" w:space="0" w:color="000000"/>
              <w:bottom w:val="single" w:sz="4" w:space="0" w:color="000000"/>
            </w:tcBorders>
            <w:noWrap/>
          </w:tcPr>
          <w:p w:rsidR="008D608A" w:rsidRPr="008D608A" w:rsidRDefault="008D608A" w:rsidP="00267B32">
            <w:pPr>
              <w:widowControl/>
              <w:wordWrap/>
              <w:autoSpaceDE/>
              <w:autoSpaceDN/>
              <w:jc w:val="left"/>
              <w:rPr>
                <w:rFonts w:ascii="Times New Roman" w:eastAsia="굴림" w:hAnsi="Times New Roman" w:cs="Times New Roman"/>
                <w:kern w:val="0"/>
                <w:sz w:val="16"/>
                <w:szCs w:val="16"/>
              </w:rPr>
            </w:pPr>
            <w:r w:rsidRPr="008D608A">
              <w:rPr>
                <w:rFonts w:ascii="Times New Roman" w:eastAsia="굴림" w:hAnsi="Times New Roman" w:cs="Times New Roman"/>
                <w:kern w:val="0"/>
                <w:sz w:val="16"/>
                <w:szCs w:val="16"/>
              </w:rPr>
              <w:t xml:space="preserve">Panel B: </w:t>
            </w:r>
            <w:r w:rsidRPr="008D608A">
              <w:rPr>
                <w:rFonts w:ascii="Times New Roman" w:eastAsia="맑은 고딕" w:hAnsi="Times New Roman" w:cs="Times New Roman"/>
                <w:color w:val="000000"/>
                <w:kern w:val="0"/>
                <w:sz w:val="16"/>
                <w:szCs w:val="16"/>
              </w:rPr>
              <w:t xml:space="preserve">Comparison of Business Group’s Influence between High </w:t>
            </w:r>
            <w:r w:rsidR="00D01EDF">
              <w:rPr>
                <w:rFonts w:ascii="Times New Roman" w:eastAsia="맑은 고딕" w:hAnsi="Times New Roman" w:cs="Times New Roman"/>
                <w:color w:val="000000"/>
                <w:kern w:val="0"/>
                <w:sz w:val="16"/>
                <w:szCs w:val="16"/>
              </w:rPr>
              <w:t>and Low Tangibility Non-member F</w:t>
            </w:r>
            <w:r w:rsidRPr="008D608A">
              <w:rPr>
                <w:rFonts w:ascii="Times New Roman" w:eastAsia="맑은 고딕" w:hAnsi="Times New Roman" w:cs="Times New Roman"/>
                <w:color w:val="000000"/>
                <w:kern w:val="0"/>
                <w:sz w:val="16"/>
                <w:szCs w:val="16"/>
              </w:rPr>
              <w:t>irms</w:t>
            </w:r>
          </w:p>
        </w:tc>
      </w:tr>
      <w:tr w:rsidR="008D608A" w:rsidRPr="008D608A" w:rsidTr="00D01EDF">
        <w:trPr>
          <w:trHeight w:val="255"/>
        </w:trPr>
        <w:tc>
          <w:tcPr>
            <w:tcW w:w="555" w:type="pct"/>
            <w:gridSpan w:val="2"/>
            <w:tcBorders>
              <w:top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1482" w:type="pct"/>
            <w:gridSpan w:val="4"/>
            <w:tcBorders>
              <w:top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BSDI</w:t>
            </w:r>
          </w:p>
        </w:tc>
        <w:tc>
          <w:tcPr>
            <w:tcW w:w="1482" w:type="pct"/>
            <w:gridSpan w:val="5"/>
            <w:tcBorders>
              <w:top w:val="single" w:sz="4" w:space="0" w:color="000000"/>
            </w:tcBorders>
            <w:noWrap/>
          </w:tcPr>
          <w:p w:rsidR="008D608A" w:rsidRPr="008D608A" w:rsidRDefault="00D01EDF"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BG MKT Share</w:t>
            </w:r>
          </w:p>
        </w:tc>
        <w:tc>
          <w:tcPr>
            <w:tcW w:w="1481" w:type="pct"/>
            <w:gridSpan w:val="4"/>
            <w:tcBorders>
              <w:top w:val="single" w:sz="4" w:space="0" w:color="000000"/>
            </w:tcBorders>
            <w:noWrap/>
          </w:tcPr>
          <w:p w:rsidR="008D608A" w:rsidRPr="008D608A" w:rsidRDefault="008D608A" w:rsidP="00D01EDF">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 xml:space="preserve">ICM </w:t>
            </w:r>
            <w:r w:rsidR="00D01EDF">
              <w:rPr>
                <w:rFonts w:ascii="Times New Roman" w:eastAsia="맑은 고딕" w:hAnsi="Times New Roman" w:cs="Times New Roman"/>
                <w:color w:val="000000"/>
                <w:kern w:val="0"/>
                <w:sz w:val="16"/>
                <w:szCs w:val="16"/>
              </w:rPr>
              <w:t>Size</w:t>
            </w:r>
          </w:p>
        </w:tc>
      </w:tr>
      <w:tr w:rsidR="008D608A" w:rsidRPr="008D608A" w:rsidTr="00D01EDF">
        <w:trPr>
          <w:trHeight w:val="255"/>
        </w:trPr>
        <w:tc>
          <w:tcPr>
            <w:tcW w:w="555"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굴림" w:hAnsi="Times New Roman" w:cs="Times New Roman"/>
                <w:kern w:val="0"/>
                <w:sz w:val="16"/>
                <w:szCs w:val="16"/>
              </w:rPr>
            </w:pPr>
          </w:p>
        </w:tc>
        <w:tc>
          <w:tcPr>
            <w:tcW w:w="741"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(1) - (5)</w:t>
            </w:r>
          </w:p>
        </w:tc>
        <w:tc>
          <w:tcPr>
            <w:tcW w:w="741"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(3) - (7)</w:t>
            </w:r>
          </w:p>
        </w:tc>
        <w:tc>
          <w:tcPr>
            <w:tcW w:w="741" w:type="pct"/>
            <w:gridSpan w:val="3"/>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(2) - (6)</w:t>
            </w:r>
          </w:p>
        </w:tc>
        <w:tc>
          <w:tcPr>
            <w:tcW w:w="741"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(4) - (8)</w:t>
            </w:r>
          </w:p>
        </w:tc>
        <w:tc>
          <w:tcPr>
            <w:tcW w:w="741"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(2) – (6)</w:t>
            </w:r>
          </w:p>
        </w:tc>
        <w:tc>
          <w:tcPr>
            <w:tcW w:w="740" w:type="pct"/>
            <w:gridSpan w:val="2"/>
            <w:tcBorders>
              <w:bottom w:val="single" w:sz="4" w:space="0" w:color="000000"/>
            </w:tcBorders>
            <w:noWrap/>
          </w:tcPr>
          <w:p w:rsidR="008D608A" w:rsidRPr="008D608A" w:rsidRDefault="008D608A"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(4) - (8)</w:t>
            </w:r>
          </w:p>
        </w:tc>
      </w:tr>
      <w:tr w:rsidR="003A4F08" w:rsidRPr="008D608A" w:rsidTr="00D01EDF">
        <w:trPr>
          <w:trHeight w:val="287"/>
        </w:trPr>
        <w:tc>
          <w:tcPr>
            <w:tcW w:w="555" w:type="pct"/>
            <w:gridSpan w:val="2"/>
            <w:vMerge w:val="restart"/>
            <w:tcBorders>
              <w:top w:val="single" w:sz="4" w:space="0" w:color="000000"/>
            </w:tcBorders>
            <w:noWrap/>
            <w:vAlign w:val="center"/>
          </w:tcPr>
          <w:p w:rsidR="003A4F08" w:rsidRPr="008D608A" w:rsidRDefault="003A4F08" w:rsidP="003A4F08">
            <w:pPr>
              <w:widowControl/>
              <w:wordWrap/>
              <w:autoSpaceDE/>
              <w:autoSpaceDN/>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 xml:space="preserve">Difference in </w:t>
            </w:r>
            <w:proofErr w:type="spellStart"/>
            <w:r w:rsidRPr="008D608A">
              <w:rPr>
                <w:rFonts w:ascii="Times New Roman" w:eastAsia="맑은 고딕" w:hAnsi="Times New Roman" w:cs="Times New Roman"/>
                <w:color w:val="000000"/>
                <w:kern w:val="0"/>
                <w:sz w:val="16"/>
                <w:szCs w:val="16"/>
              </w:rPr>
              <w:t>Coeff</w:t>
            </w:r>
            <w:proofErr w:type="spellEnd"/>
            <w:r w:rsidRPr="008D608A">
              <w:rPr>
                <w:rFonts w:ascii="Times New Roman" w:eastAsia="맑은 고딕" w:hAnsi="Times New Roman" w:cs="Times New Roman"/>
                <w:color w:val="000000"/>
                <w:kern w:val="0"/>
                <w:sz w:val="16"/>
                <w:szCs w:val="16"/>
              </w:rPr>
              <w:t>.</w:t>
            </w:r>
          </w:p>
        </w:tc>
        <w:tc>
          <w:tcPr>
            <w:tcW w:w="741" w:type="pct"/>
            <w:gridSpan w:val="2"/>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0.4438*</w:t>
            </w:r>
          </w:p>
        </w:tc>
        <w:tc>
          <w:tcPr>
            <w:tcW w:w="741" w:type="pct"/>
            <w:gridSpan w:val="2"/>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0.8255**</w:t>
            </w:r>
          </w:p>
        </w:tc>
        <w:tc>
          <w:tcPr>
            <w:tcW w:w="741" w:type="pct"/>
            <w:gridSpan w:val="3"/>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0.3481</w:t>
            </w:r>
          </w:p>
        </w:tc>
        <w:tc>
          <w:tcPr>
            <w:tcW w:w="741" w:type="pct"/>
            <w:gridSpan w:val="2"/>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0.8003</w:t>
            </w:r>
          </w:p>
        </w:tc>
        <w:tc>
          <w:tcPr>
            <w:tcW w:w="741" w:type="pct"/>
            <w:gridSpan w:val="2"/>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0.4924*</w:t>
            </w:r>
          </w:p>
        </w:tc>
        <w:tc>
          <w:tcPr>
            <w:tcW w:w="740" w:type="pct"/>
            <w:gridSpan w:val="2"/>
            <w:tcBorders>
              <w:top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0.8348**</w:t>
            </w:r>
          </w:p>
        </w:tc>
      </w:tr>
      <w:tr w:rsidR="003A4F08" w:rsidRPr="008D608A" w:rsidTr="00D01EDF">
        <w:trPr>
          <w:trHeight w:val="255"/>
        </w:trPr>
        <w:tc>
          <w:tcPr>
            <w:tcW w:w="555" w:type="pct"/>
            <w:gridSpan w:val="2"/>
            <w:vMerge/>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p>
        </w:tc>
        <w:tc>
          <w:tcPr>
            <w:tcW w:w="741" w:type="pct"/>
            <w:gridSpan w:val="2"/>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[1.84]</w:t>
            </w:r>
          </w:p>
        </w:tc>
        <w:tc>
          <w:tcPr>
            <w:tcW w:w="741" w:type="pct"/>
            <w:gridSpan w:val="2"/>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[2.44]</w:t>
            </w:r>
          </w:p>
        </w:tc>
        <w:tc>
          <w:tcPr>
            <w:tcW w:w="741" w:type="pct"/>
            <w:gridSpan w:val="3"/>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[0.85]</w:t>
            </w:r>
          </w:p>
        </w:tc>
        <w:tc>
          <w:tcPr>
            <w:tcW w:w="741" w:type="pct"/>
            <w:gridSpan w:val="2"/>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[1.40]</w:t>
            </w:r>
          </w:p>
        </w:tc>
        <w:tc>
          <w:tcPr>
            <w:tcW w:w="741" w:type="pct"/>
            <w:gridSpan w:val="2"/>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[1.72]</w:t>
            </w:r>
          </w:p>
        </w:tc>
        <w:tc>
          <w:tcPr>
            <w:tcW w:w="740" w:type="pct"/>
            <w:gridSpan w:val="2"/>
            <w:tcBorders>
              <w:bottom w:val="single" w:sz="4" w:space="0" w:color="000000"/>
            </w:tcBorders>
            <w:noWrap/>
          </w:tcPr>
          <w:p w:rsidR="003A4F08" w:rsidRPr="008D608A" w:rsidRDefault="003A4F08" w:rsidP="00267B32">
            <w:pPr>
              <w:widowControl/>
              <w:wordWrap/>
              <w:autoSpaceDE/>
              <w:autoSpaceDN/>
              <w:jc w:val="center"/>
              <w:rPr>
                <w:rFonts w:ascii="Times New Roman" w:eastAsia="맑은 고딕" w:hAnsi="Times New Roman" w:cs="Times New Roman"/>
                <w:color w:val="000000"/>
                <w:kern w:val="0"/>
                <w:sz w:val="16"/>
                <w:szCs w:val="16"/>
              </w:rPr>
            </w:pPr>
            <w:r w:rsidRPr="008D608A">
              <w:rPr>
                <w:rFonts w:ascii="Times New Roman" w:eastAsia="맑은 고딕" w:hAnsi="Times New Roman" w:cs="Times New Roman"/>
                <w:color w:val="000000"/>
                <w:kern w:val="0"/>
                <w:sz w:val="16"/>
                <w:szCs w:val="16"/>
              </w:rPr>
              <w:t>[2.05]</w:t>
            </w:r>
          </w:p>
        </w:tc>
      </w:tr>
    </w:tbl>
    <w:p w:rsidR="004D53E2" w:rsidRDefault="004D53E2"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pPr>
    </w:p>
    <w:p w:rsidR="00DC23A6" w:rsidRDefault="00DC23A6" w:rsidP="003D699C">
      <w:pPr>
        <w:widowControl/>
        <w:wordWrap/>
        <w:autoSpaceDE/>
        <w:autoSpaceDN/>
        <w:rPr>
          <w:rFonts w:ascii="Times New Roman" w:hAnsi="Times New Roman" w:cs="Times New Roman"/>
          <w:szCs w:val="20"/>
        </w:rPr>
        <w:sectPr w:rsidR="00DC23A6" w:rsidSect="00C13B7D">
          <w:pgSz w:w="16838" w:h="11906" w:orient="landscape"/>
          <w:pgMar w:top="1440" w:right="1440" w:bottom="1440" w:left="1440" w:header="720" w:footer="720" w:gutter="0"/>
          <w:pgNumType w:fmt="numberInDash"/>
          <w:cols w:space="720"/>
          <w:docGrid w:linePitch="360"/>
        </w:sectPr>
      </w:pP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07"/>
        <w:gridCol w:w="365"/>
        <w:gridCol w:w="1255"/>
        <w:gridCol w:w="845"/>
        <w:gridCol w:w="777"/>
        <w:gridCol w:w="1324"/>
        <w:gridCol w:w="298"/>
        <w:gridCol w:w="1622"/>
        <w:gridCol w:w="181"/>
        <w:gridCol w:w="1440"/>
        <w:gridCol w:w="661"/>
        <w:gridCol w:w="961"/>
        <w:gridCol w:w="1140"/>
        <w:gridCol w:w="482"/>
        <w:gridCol w:w="1616"/>
      </w:tblGrid>
      <w:tr w:rsidR="00267B32" w:rsidRPr="00161760" w:rsidTr="00267B32">
        <w:trPr>
          <w:trHeight w:val="255"/>
        </w:trPr>
        <w:tc>
          <w:tcPr>
            <w:tcW w:w="5000" w:type="pct"/>
            <w:gridSpan w:val="15"/>
            <w:noWrap/>
            <w:hideMark/>
          </w:tcPr>
          <w:p w:rsidR="00267B32" w:rsidRPr="00161760" w:rsidRDefault="00267B32" w:rsidP="00267B32">
            <w:pPr>
              <w:widowControl/>
              <w:wordWrap/>
              <w:autoSpaceDE/>
              <w:autoSpaceDN/>
              <w:jc w:val="left"/>
              <w:rPr>
                <w:rFonts w:ascii="Times New Roman" w:eastAsia="굴림" w:hAnsi="Times New Roman" w:cs="Times New Roman"/>
                <w:b/>
                <w:kern w:val="0"/>
                <w:sz w:val="16"/>
                <w:szCs w:val="16"/>
              </w:rPr>
            </w:pPr>
            <w:r w:rsidRPr="00161760">
              <w:rPr>
                <w:rFonts w:ascii="Times New Roman" w:eastAsia="굴림" w:hAnsi="Times New Roman" w:cs="Times New Roman"/>
                <w:b/>
                <w:kern w:val="0"/>
                <w:sz w:val="16"/>
                <w:szCs w:val="16"/>
              </w:rPr>
              <w:lastRenderedPageBreak/>
              <w:t xml:space="preserve">Table </w:t>
            </w:r>
            <w:r>
              <w:rPr>
                <w:rFonts w:ascii="Times New Roman" w:eastAsia="굴림" w:hAnsi="Times New Roman" w:cs="Times New Roman" w:hint="eastAsia"/>
                <w:b/>
                <w:kern w:val="0"/>
                <w:sz w:val="16"/>
                <w:szCs w:val="16"/>
              </w:rPr>
              <w:t>6</w:t>
            </w:r>
            <w:r w:rsidRPr="00161760">
              <w:rPr>
                <w:rFonts w:ascii="Times New Roman" w:eastAsia="굴림" w:hAnsi="Times New Roman" w:cs="Times New Roman"/>
                <w:b/>
                <w:kern w:val="0"/>
                <w:sz w:val="16"/>
                <w:szCs w:val="16"/>
              </w:rPr>
              <w:t xml:space="preserve">. </w:t>
            </w:r>
            <w:r w:rsidR="00D01EDF">
              <w:rPr>
                <w:rFonts w:ascii="Times New Roman" w:eastAsia="굴림" w:hAnsi="Times New Roman" w:cs="Times New Roman" w:hint="eastAsia"/>
                <w:b/>
                <w:kern w:val="0"/>
                <w:sz w:val="16"/>
                <w:szCs w:val="16"/>
              </w:rPr>
              <w:t xml:space="preserve">Non-member </w:t>
            </w:r>
            <w:r w:rsidR="00D01EDF">
              <w:rPr>
                <w:rFonts w:ascii="Times New Roman" w:eastAsia="굴림" w:hAnsi="Times New Roman" w:cs="Times New Roman"/>
                <w:b/>
                <w:kern w:val="0"/>
                <w:sz w:val="16"/>
                <w:szCs w:val="16"/>
              </w:rPr>
              <w:t>F</w:t>
            </w:r>
            <w:r>
              <w:rPr>
                <w:rFonts w:ascii="Times New Roman" w:eastAsia="굴림" w:hAnsi="Times New Roman" w:cs="Times New Roman" w:hint="eastAsia"/>
                <w:b/>
                <w:kern w:val="0"/>
                <w:sz w:val="16"/>
                <w:szCs w:val="16"/>
              </w:rPr>
              <w:t>irms</w:t>
            </w:r>
            <w:r>
              <w:rPr>
                <w:rFonts w:ascii="Times New Roman" w:eastAsia="굴림" w:hAnsi="Times New Roman" w:cs="Times New Roman"/>
                <w:b/>
                <w:kern w:val="0"/>
                <w:sz w:val="16"/>
                <w:szCs w:val="16"/>
              </w:rPr>
              <w:t>’</w:t>
            </w:r>
            <w:r>
              <w:rPr>
                <w:rFonts w:ascii="Times New Roman" w:eastAsia="굴림" w:hAnsi="Times New Roman" w:cs="Times New Roman" w:hint="eastAsia"/>
                <w:b/>
                <w:kern w:val="0"/>
                <w:sz w:val="16"/>
                <w:szCs w:val="16"/>
              </w:rPr>
              <w:t xml:space="preserve"> </w:t>
            </w:r>
            <w:r w:rsidRPr="00161760">
              <w:rPr>
                <w:rFonts w:ascii="Times New Roman" w:eastAsia="굴림" w:hAnsi="Times New Roman" w:cs="Times New Roman"/>
                <w:b/>
                <w:kern w:val="0"/>
                <w:sz w:val="16"/>
                <w:szCs w:val="16"/>
              </w:rPr>
              <w:t xml:space="preserve">Financial Constraint and </w:t>
            </w:r>
            <w:r w:rsidRPr="00161760">
              <w:rPr>
                <w:rFonts w:ascii="Times New Roman" w:eastAsia="굴림" w:hAnsi="Times New Roman" w:cs="Times New Roman" w:hint="eastAsia"/>
                <w:b/>
                <w:kern w:val="0"/>
                <w:sz w:val="16"/>
                <w:szCs w:val="16"/>
              </w:rPr>
              <w:t>Business Group</w:t>
            </w:r>
            <w:r w:rsidRPr="00161760">
              <w:rPr>
                <w:rFonts w:ascii="Times New Roman" w:eastAsia="굴림" w:hAnsi="Times New Roman" w:cs="Times New Roman"/>
                <w:b/>
                <w:kern w:val="0"/>
                <w:sz w:val="16"/>
                <w:szCs w:val="16"/>
              </w:rPr>
              <w:t>’</w:t>
            </w:r>
            <w:r w:rsidRPr="00161760">
              <w:rPr>
                <w:rFonts w:ascii="Times New Roman" w:eastAsia="굴림" w:hAnsi="Times New Roman" w:cs="Times New Roman" w:hint="eastAsia"/>
                <w:b/>
                <w:kern w:val="0"/>
                <w:sz w:val="16"/>
                <w:szCs w:val="16"/>
              </w:rPr>
              <w:t>s Influence</w:t>
            </w:r>
            <w:r w:rsidRPr="00161760">
              <w:rPr>
                <w:rFonts w:ascii="Times New Roman" w:eastAsia="굴림" w:hAnsi="Times New Roman" w:cs="Times New Roman"/>
                <w:b/>
                <w:kern w:val="0"/>
                <w:sz w:val="16"/>
                <w:szCs w:val="16"/>
              </w:rPr>
              <w:t xml:space="preserve"> on</w:t>
            </w:r>
            <w:r>
              <w:rPr>
                <w:rFonts w:ascii="Times New Roman" w:eastAsia="굴림" w:hAnsi="Times New Roman" w:cs="Times New Roman" w:hint="eastAsia"/>
                <w:b/>
                <w:kern w:val="0"/>
                <w:sz w:val="16"/>
                <w:szCs w:val="16"/>
              </w:rPr>
              <w:t xml:space="preserve"> </w:t>
            </w:r>
            <w:r w:rsidRPr="00161760">
              <w:rPr>
                <w:rFonts w:ascii="Times New Roman" w:eastAsia="굴림" w:hAnsi="Times New Roman" w:cs="Times New Roman" w:hint="eastAsia"/>
                <w:b/>
                <w:kern w:val="0"/>
                <w:sz w:val="16"/>
                <w:szCs w:val="16"/>
              </w:rPr>
              <w:t>Financial Distress</w:t>
            </w:r>
            <w:r w:rsidRPr="00161760">
              <w:rPr>
                <w:rFonts w:ascii="Times New Roman" w:eastAsia="굴림" w:hAnsi="Times New Roman" w:cs="Times New Roman"/>
                <w:b/>
                <w:kern w:val="0"/>
                <w:sz w:val="16"/>
                <w:szCs w:val="16"/>
              </w:rPr>
              <w:t xml:space="preserve"> Risk (Cutoff </w:t>
            </w:r>
            <w:r w:rsidRPr="009F5D2B">
              <w:rPr>
                <w:rFonts w:ascii="Times New Roman" w:eastAsia="굴림" w:hAnsi="Times New Roman" w:cs="Times New Roman"/>
                <w:b/>
                <w:kern w:val="0"/>
                <w:sz w:val="16"/>
                <w:szCs w:val="16"/>
              </w:rPr>
              <w:t>Point: 30 Percentile Value</w:t>
            </w:r>
            <w:r w:rsidRPr="00161760">
              <w:rPr>
                <w:rFonts w:ascii="Times New Roman" w:eastAsia="굴림" w:hAnsi="Times New Roman" w:cs="Times New Roman"/>
                <w:b/>
                <w:kern w:val="0"/>
                <w:sz w:val="16"/>
                <w:szCs w:val="16"/>
              </w:rPr>
              <w:t>)</w:t>
            </w:r>
          </w:p>
        </w:tc>
      </w:tr>
      <w:tr w:rsidR="00267B32" w:rsidRPr="00161760" w:rsidTr="00267B32">
        <w:trPr>
          <w:trHeight w:val="255"/>
        </w:trPr>
        <w:tc>
          <w:tcPr>
            <w:tcW w:w="5000" w:type="pct"/>
            <w:gridSpan w:val="15"/>
            <w:tcBorders>
              <w:bottom w:val="single" w:sz="4" w:space="0" w:color="000000"/>
            </w:tcBorders>
            <w:noWrap/>
            <w:hideMark/>
          </w:tcPr>
          <w:p w:rsidR="00267B32" w:rsidRPr="00161760" w:rsidRDefault="00267B32" w:rsidP="00D01EDF">
            <w:pPr>
              <w:widowControl/>
              <w:wordWrap/>
              <w:autoSpaceDE/>
              <w:autoSpaceDN/>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 xml:space="preserve">This table reports the results that compare the impact of business group </w:t>
            </w:r>
            <w:r>
              <w:rPr>
                <w:rFonts w:ascii="Times New Roman" w:eastAsia="굴림" w:hAnsi="Times New Roman" w:cs="Times New Roman" w:hint="eastAsia"/>
                <w:kern w:val="0"/>
                <w:sz w:val="16"/>
                <w:szCs w:val="16"/>
              </w:rPr>
              <w:t>influence</w:t>
            </w:r>
            <w:r w:rsidRPr="00161760">
              <w:rPr>
                <w:rFonts w:ascii="Times New Roman" w:eastAsia="굴림" w:hAnsi="Times New Roman" w:cs="Times New Roman"/>
                <w:kern w:val="0"/>
                <w:sz w:val="16"/>
                <w:szCs w:val="16"/>
              </w:rPr>
              <w:t xml:space="preserve"> on </w:t>
            </w:r>
            <w:r>
              <w:rPr>
                <w:rFonts w:ascii="Times New Roman" w:eastAsia="굴림" w:hAnsi="Times New Roman" w:cs="Times New Roman" w:hint="eastAsia"/>
                <w:kern w:val="0"/>
                <w:sz w:val="16"/>
                <w:szCs w:val="16"/>
              </w:rPr>
              <w:t>financial distress</w:t>
            </w:r>
            <w:r w:rsidRPr="00161760">
              <w:rPr>
                <w:rFonts w:ascii="Times New Roman" w:eastAsia="굴림" w:hAnsi="Times New Roman" w:cs="Times New Roman"/>
                <w:kern w:val="0"/>
                <w:sz w:val="16"/>
                <w:szCs w:val="16"/>
              </w:rPr>
              <w:t xml:space="preserve"> risk between non-member firms with high and low level of financial constraint. Following existing literature, we use tangibility ratio as proxy for financial constraint (high tangibility firm has lower financial constraint). Mo</w:t>
            </w:r>
            <w:r>
              <w:rPr>
                <w:rFonts w:ascii="Times New Roman" w:eastAsia="굴림" w:hAnsi="Times New Roman" w:cs="Times New Roman"/>
                <w:kern w:val="0"/>
                <w:sz w:val="16"/>
                <w:szCs w:val="16"/>
              </w:rPr>
              <w:t>re specifically, we identity</w:t>
            </w:r>
            <w:r w:rsidRPr="00161760">
              <w:rPr>
                <w:rFonts w:ascii="Times New Roman" w:eastAsia="굴림" w:hAnsi="Times New Roman" w:cs="Times New Roman"/>
                <w:kern w:val="0"/>
                <w:sz w:val="16"/>
                <w:szCs w:val="16"/>
              </w:rPr>
              <w:t xml:space="preserve"> </w:t>
            </w:r>
            <w:r w:rsidRPr="00E41C98">
              <w:rPr>
                <w:rFonts w:ascii="Times New Roman" w:eastAsia="굴림" w:hAnsi="Times New Roman" w:cs="Times New Roman"/>
                <w:kern w:val="0"/>
                <w:sz w:val="16"/>
                <w:szCs w:val="16"/>
              </w:rPr>
              <w:t>the 30 percentile value of</w:t>
            </w:r>
            <w:r w:rsidRPr="00161760">
              <w:rPr>
                <w:rFonts w:ascii="Times New Roman" w:eastAsia="굴림" w:hAnsi="Times New Roman" w:cs="Times New Roman"/>
                <w:kern w:val="0"/>
                <w:sz w:val="16"/>
                <w:szCs w:val="16"/>
              </w:rPr>
              <w:t xml:space="preserve"> tangibility ratio for non-member firms in each year, and non-member firms whose tangibility ratio</w:t>
            </w:r>
            <w:r>
              <w:rPr>
                <w:rFonts w:ascii="Times New Roman" w:eastAsia="굴림" w:hAnsi="Times New Roman" w:cs="Times New Roman"/>
                <w:kern w:val="0"/>
                <w:sz w:val="16"/>
                <w:szCs w:val="16"/>
              </w:rPr>
              <w:t xml:space="preserve">s </w:t>
            </w:r>
            <w:r w:rsidRPr="00161760">
              <w:rPr>
                <w:rFonts w:ascii="Times New Roman" w:eastAsia="굴림" w:hAnsi="Times New Roman" w:cs="Times New Roman"/>
                <w:kern w:val="0"/>
                <w:sz w:val="16"/>
                <w:szCs w:val="16"/>
              </w:rPr>
              <w:t xml:space="preserve">below (above) the </w:t>
            </w:r>
            <w:r w:rsidRPr="00E41C98">
              <w:rPr>
                <w:rFonts w:ascii="Times New Roman" w:eastAsia="굴림" w:hAnsi="Times New Roman" w:cs="Times New Roman"/>
                <w:kern w:val="0"/>
                <w:sz w:val="16"/>
                <w:szCs w:val="16"/>
              </w:rPr>
              <w:t>30 percentile value</w:t>
            </w:r>
            <w:r>
              <w:rPr>
                <w:rFonts w:ascii="Times New Roman" w:eastAsia="굴림" w:hAnsi="Times New Roman" w:cs="Times New Roman"/>
                <w:kern w:val="0"/>
                <w:sz w:val="16"/>
                <w:szCs w:val="16"/>
              </w:rPr>
              <w:t xml:space="preserve"> </w:t>
            </w:r>
            <w:r w:rsidRPr="00161760">
              <w:rPr>
                <w:rFonts w:ascii="Times New Roman" w:eastAsia="굴림" w:hAnsi="Times New Roman" w:cs="Times New Roman"/>
                <w:kern w:val="0"/>
                <w:sz w:val="16"/>
                <w:szCs w:val="16"/>
              </w:rPr>
              <w:t xml:space="preserve">are selected into the low (high) tangibility sample. </w:t>
            </w:r>
            <w:r w:rsidRPr="00AE58BE">
              <w:rPr>
                <w:rFonts w:ascii="Times New Roman" w:eastAsia="굴림" w:hAnsi="Times New Roman" w:cs="Times New Roman"/>
                <w:kern w:val="0"/>
                <w:sz w:val="16"/>
                <w:szCs w:val="16"/>
              </w:rPr>
              <w:t xml:space="preserve">In order to measure firm’s </w:t>
            </w:r>
            <w:r>
              <w:rPr>
                <w:rFonts w:ascii="Times New Roman" w:eastAsia="굴림" w:hAnsi="Times New Roman" w:cs="Times New Roman" w:hint="eastAsia"/>
                <w:kern w:val="0"/>
                <w:sz w:val="16"/>
                <w:szCs w:val="16"/>
              </w:rPr>
              <w:t>financial distress</w:t>
            </w:r>
            <w:r w:rsidRPr="00AE58BE">
              <w:rPr>
                <w:rFonts w:ascii="Times New Roman" w:eastAsia="굴림" w:hAnsi="Times New Roman" w:cs="Times New Roman"/>
                <w:kern w:val="0"/>
                <w:sz w:val="16"/>
                <w:szCs w:val="16"/>
              </w:rPr>
              <w:t xml:space="preserve"> risk, accounting information based K</w:t>
            </w:r>
            <w:r>
              <w:rPr>
                <w:rFonts w:ascii="Times New Roman" w:eastAsia="굴림" w:hAnsi="Times New Roman" w:cs="Times New Roman"/>
                <w:kern w:val="0"/>
                <w:sz w:val="16"/>
                <w:szCs w:val="16"/>
              </w:rPr>
              <w:t>M</w:t>
            </w:r>
            <w:r w:rsidRPr="00AE58BE">
              <w:rPr>
                <w:rFonts w:ascii="Times New Roman" w:eastAsia="굴림" w:hAnsi="Times New Roman" w:cs="Times New Roman"/>
                <w:kern w:val="0"/>
                <w:sz w:val="16"/>
                <w:szCs w:val="16"/>
              </w:rPr>
              <w:t>-score (Multiple discri</w:t>
            </w:r>
            <w:r w:rsidR="00D01EDF">
              <w:rPr>
                <w:rFonts w:ascii="Times New Roman" w:eastAsia="굴림" w:hAnsi="Times New Roman" w:cs="Times New Roman"/>
                <w:kern w:val="0"/>
                <w:sz w:val="16"/>
                <w:szCs w:val="16"/>
              </w:rPr>
              <w:t>minant analysis) and KL-score (L</w:t>
            </w:r>
            <w:r w:rsidRPr="00AE58BE">
              <w:rPr>
                <w:rFonts w:ascii="Times New Roman" w:eastAsia="굴림" w:hAnsi="Times New Roman" w:cs="Times New Roman"/>
                <w:kern w:val="0"/>
                <w:sz w:val="16"/>
                <w:szCs w:val="16"/>
              </w:rPr>
              <w:t xml:space="preserve">ogit regression analysis) are used. To proxy for industry wide business group </w:t>
            </w:r>
            <w:r>
              <w:rPr>
                <w:rFonts w:ascii="Times New Roman" w:eastAsia="굴림" w:hAnsi="Times New Roman" w:cs="Times New Roman" w:hint="eastAsia"/>
                <w:kern w:val="0"/>
                <w:sz w:val="16"/>
                <w:szCs w:val="16"/>
              </w:rPr>
              <w:t>influence</w:t>
            </w:r>
            <w:r w:rsidRPr="00AE58BE">
              <w:rPr>
                <w:rFonts w:ascii="Times New Roman" w:eastAsia="굴림" w:hAnsi="Times New Roman" w:cs="Times New Roman"/>
                <w:kern w:val="0"/>
                <w:sz w:val="16"/>
                <w:szCs w:val="16"/>
              </w:rPr>
              <w:t>, the business group strength and dominance index (BSDI)</w:t>
            </w:r>
            <w:r>
              <w:rPr>
                <w:rFonts w:ascii="Times New Roman" w:eastAsia="굴림" w:hAnsi="Times New Roman" w:cs="Times New Roman" w:hint="eastAsia"/>
                <w:kern w:val="0"/>
                <w:sz w:val="16"/>
                <w:szCs w:val="16"/>
              </w:rPr>
              <w:t xml:space="preserve">, developed by </w:t>
            </w:r>
            <w:r w:rsidR="00886B05">
              <w:rPr>
                <w:rFonts w:ascii="Times New Roman" w:eastAsia="굴림" w:hAnsi="Times New Roman" w:cs="Times New Roman"/>
                <w:kern w:val="0"/>
                <w:sz w:val="16"/>
                <w:szCs w:val="16"/>
              </w:rPr>
              <w:fldChar w:fldCharType="begin"/>
            </w:r>
            <w:r>
              <w:rPr>
                <w:rFonts w:ascii="Times New Roman" w:eastAsia="굴림" w:hAnsi="Times New Roman" w:cs="Times New Roman"/>
                <w:kern w:val="0"/>
                <w:sz w:val="16"/>
                <w:szCs w:val="16"/>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Pr>
                <w:rFonts w:ascii="Times New Roman" w:eastAsia="굴림" w:hAnsi="Times New Roman" w:cs="Times New Roman"/>
                <w:kern w:val="0"/>
                <w:sz w:val="16"/>
                <w:szCs w:val="16"/>
              </w:rPr>
              <w:fldChar w:fldCharType="separate"/>
            </w:r>
            <w:hyperlink w:anchor="_ENREF_1" w:tooltip="Liu, 2016 #130" w:history="1">
              <w:r>
                <w:rPr>
                  <w:rFonts w:ascii="Times New Roman" w:eastAsia="굴림" w:hAnsi="Times New Roman" w:cs="Times New Roman"/>
                  <w:noProof/>
                  <w:kern w:val="0"/>
                  <w:sz w:val="16"/>
                  <w:szCs w:val="16"/>
                </w:rPr>
                <w:t>Liu et al. (2016</w:t>
              </w:r>
            </w:hyperlink>
            <w:r>
              <w:rPr>
                <w:rFonts w:ascii="Times New Roman" w:eastAsia="굴림" w:hAnsi="Times New Roman" w:cs="Times New Roman"/>
                <w:noProof/>
                <w:kern w:val="0"/>
                <w:sz w:val="16"/>
                <w:szCs w:val="16"/>
              </w:rPr>
              <w:t>)</w:t>
            </w:r>
            <w:r w:rsidR="00886B05">
              <w:rPr>
                <w:rFonts w:ascii="Times New Roman" w:eastAsia="굴림" w:hAnsi="Times New Roman" w:cs="Times New Roman"/>
                <w:kern w:val="0"/>
                <w:sz w:val="16"/>
                <w:szCs w:val="16"/>
              </w:rPr>
              <w:fldChar w:fldCharType="end"/>
            </w:r>
            <w:r>
              <w:rPr>
                <w:rFonts w:ascii="Times New Roman" w:eastAsia="굴림" w:hAnsi="Times New Roman" w:cs="Times New Roman" w:hint="eastAsia"/>
                <w:kern w:val="0"/>
                <w:sz w:val="16"/>
                <w:szCs w:val="16"/>
              </w:rPr>
              <w:t>,</w:t>
            </w:r>
            <w:r w:rsidRPr="00AE58BE">
              <w:rPr>
                <w:rFonts w:ascii="Times New Roman" w:eastAsia="굴림" w:hAnsi="Times New Roman" w:cs="Times New Roman"/>
                <w:kern w:val="0"/>
                <w:sz w:val="16"/>
                <w:szCs w:val="16"/>
              </w:rPr>
              <w:t xml:space="preserve"> is used. The BSDI is also decomposed into two orthogonal c</w:t>
            </w:r>
            <w:r>
              <w:rPr>
                <w:rFonts w:ascii="Times New Roman" w:eastAsia="굴림" w:hAnsi="Times New Roman" w:cs="Times New Roman"/>
                <w:kern w:val="0"/>
                <w:sz w:val="16"/>
                <w:szCs w:val="16"/>
              </w:rPr>
              <w:t xml:space="preserve">omponents: </w:t>
            </w:r>
            <w:r>
              <w:rPr>
                <w:rFonts w:ascii="Times New Roman" w:eastAsia="굴림" w:hAnsi="Times New Roman" w:cs="Times New Roman" w:hint="eastAsia"/>
                <w:kern w:val="0"/>
                <w:sz w:val="16"/>
                <w:szCs w:val="16"/>
              </w:rPr>
              <w:t>BG MKT Share</w:t>
            </w:r>
            <w:r>
              <w:rPr>
                <w:rFonts w:ascii="Times New Roman" w:eastAsia="굴림" w:hAnsi="Times New Roman" w:cs="Times New Roman"/>
                <w:kern w:val="0"/>
                <w:sz w:val="16"/>
                <w:szCs w:val="16"/>
              </w:rPr>
              <w:t xml:space="preserve"> and </w:t>
            </w:r>
            <w:r w:rsidRPr="00AE58BE">
              <w:rPr>
                <w:rFonts w:ascii="Times New Roman" w:eastAsia="굴림" w:hAnsi="Times New Roman" w:cs="Times New Roman"/>
                <w:kern w:val="0"/>
                <w:sz w:val="16"/>
                <w:szCs w:val="16"/>
              </w:rPr>
              <w:t xml:space="preserve">ICM </w:t>
            </w:r>
            <w:r>
              <w:rPr>
                <w:rFonts w:ascii="Times New Roman" w:eastAsia="굴림" w:hAnsi="Times New Roman" w:cs="Times New Roman" w:hint="eastAsia"/>
                <w:kern w:val="0"/>
                <w:sz w:val="16"/>
                <w:szCs w:val="16"/>
              </w:rPr>
              <w:t>size</w:t>
            </w:r>
            <w:r w:rsidRPr="00AE58BE">
              <w:rPr>
                <w:rFonts w:ascii="Times New Roman" w:eastAsia="굴림" w:hAnsi="Times New Roman" w:cs="Times New Roman"/>
                <w:kern w:val="0"/>
                <w:sz w:val="16"/>
                <w:szCs w:val="16"/>
              </w:rPr>
              <w:t>, so that we can evaluate their effect</w:t>
            </w:r>
            <w:r>
              <w:rPr>
                <w:rFonts w:ascii="Times New Roman" w:eastAsia="굴림" w:hAnsi="Times New Roman" w:cs="Times New Roman"/>
                <w:kern w:val="0"/>
                <w:sz w:val="16"/>
                <w:szCs w:val="16"/>
              </w:rPr>
              <w:t>s</w:t>
            </w:r>
            <w:r w:rsidRPr="00AE58BE">
              <w:rPr>
                <w:rFonts w:ascii="Times New Roman" w:eastAsia="굴림" w:hAnsi="Times New Roman" w:cs="Times New Roman"/>
                <w:kern w:val="0"/>
                <w:sz w:val="16"/>
                <w:szCs w:val="16"/>
              </w:rPr>
              <w:t xml:space="preserve"> separately. The former is related to member firms’ market share within an industry and the latter is related to the size of internal capital market member firms possess in the same industry. We also control for variables that are </w:t>
            </w:r>
            <w:r>
              <w:rPr>
                <w:rFonts w:ascii="Times New Roman" w:eastAsia="굴림" w:hAnsi="Times New Roman" w:cs="Times New Roman"/>
                <w:kern w:val="0"/>
                <w:sz w:val="16"/>
                <w:szCs w:val="16"/>
              </w:rPr>
              <w:t>kn</w:t>
            </w:r>
            <w:r w:rsidRPr="00AE58BE">
              <w:rPr>
                <w:rFonts w:ascii="Times New Roman" w:eastAsia="굴림" w:hAnsi="Times New Roman" w:cs="Times New Roman"/>
                <w:kern w:val="0"/>
                <w:sz w:val="16"/>
                <w:szCs w:val="16"/>
              </w:rPr>
              <w:t>own to be determinants of firm’</w:t>
            </w:r>
            <w:r>
              <w:rPr>
                <w:rFonts w:ascii="Times New Roman" w:eastAsia="굴림" w:hAnsi="Times New Roman" w:cs="Times New Roman" w:hint="eastAsia"/>
                <w:kern w:val="0"/>
                <w:sz w:val="16"/>
                <w:szCs w:val="16"/>
              </w:rPr>
              <w:t>s financial distress</w:t>
            </w:r>
            <w:r>
              <w:rPr>
                <w:rFonts w:ascii="Times New Roman" w:eastAsia="굴림" w:hAnsi="Times New Roman" w:cs="Times New Roman"/>
                <w:kern w:val="0"/>
                <w:sz w:val="16"/>
                <w:szCs w:val="16"/>
              </w:rPr>
              <w:t xml:space="preserve"> risk by previous studies</w:t>
            </w:r>
            <w:r w:rsidRPr="00AE58BE">
              <w:rPr>
                <w:rFonts w:ascii="Times New Roman" w:eastAsia="굴림" w:hAnsi="Times New Roman" w:cs="Times New Roman"/>
                <w:kern w:val="0"/>
                <w:sz w:val="16"/>
                <w:szCs w:val="16"/>
              </w:rPr>
              <w:t xml:space="preserve">, including: the </w:t>
            </w:r>
            <w:proofErr w:type="spellStart"/>
            <w:r w:rsidRPr="00AE58BE">
              <w:rPr>
                <w:rFonts w:ascii="Times New Roman" w:eastAsia="굴림" w:hAnsi="Times New Roman" w:cs="Times New Roman"/>
                <w:kern w:val="0"/>
                <w:sz w:val="16"/>
                <w:szCs w:val="16"/>
              </w:rPr>
              <w:t>Herfindahl</w:t>
            </w:r>
            <w:proofErr w:type="spellEnd"/>
            <w:r w:rsidRPr="00AE58BE">
              <w:rPr>
                <w:rFonts w:ascii="Times New Roman" w:eastAsia="굴림" w:hAnsi="Times New Roman" w:cs="Times New Roman"/>
                <w:kern w:val="0"/>
                <w:sz w:val="16"/>
                <w:szCs w:val="16"/>
              </w:rPr>
              <w:t xml:space="preserve">-Hirschman index (HHI), size, leverage, profitability, R&amp;D intensity and risk free rate. </w:t>
            </w:r>
            <w:r>
              <w:rPr>
                <w:rFonts w:ascii="Times New Roman" w:eastAsia="굴림" w:hAnsi="Times New Roman" w:cs="Times New Roman"/>
                <w:kern w:val="0"/>
                <w:sz w:val="16"/>
                <w:szCs w:val="16"/>
              </w:rPr>
              <w:t xml:space="preserve">Regression results are reported in Panel A. Panel B </w:t>
            </w:r>
            <w:r w:rsidRPr="0099655C">
              <w:rPr>
                <w:rFonts w:ascii="Times New Roman" w:eastAsia="맑은 고딕" w:hAnsi="Times New Roman" w:cs="Times New Roman"/>
                <w:color w:val="000000"/>
                <w:kern w:val="0"/>
                <w:sz w:val="16"/>
                <w:szCs w:val="16"/>
              </w:rPr>
              <w:t xml:space="preserve">reports the results of Z tests that compare </w:t>
            </w:r>
            <w:r>
              <w:rPr>
                <w:rFonts w:ascii="Times New Roman" w:eastAsia="맑은 고딕" w:hAnsi="Times New Roman" w:cs="Times New Roman"/>
                <w:color w:val="000000"/>
                <w:kern w:val="0"/>
                <w:sz w:val="16"/>
                <w:szCs w:val="16"/>
              </w:rPr>
              <w:t>the influence of business group</w:t>
            </w:r>
            <w:r w:rsidRPr="0099655C">
              <w:rPr>
                <w:rFonts w:ascii="Times New Roman" w:eastAsia="맑은 고딕" w:hAnsi="Times New Roman" w:cs="Times New Roman"/>
                <w:color w:val="000000"/>
                <w:kern w:val="0"/>
                <w:sz w:val="16"/>
                <w:szCs w:val="16"/>
              </w:rPr>
              <w:t xml:space="preserve"> between subsample</w:t>
            </w:r>
            <w:r>
              <w:rPr>
                <w:rFonts w:ascii="Times New Roman" w:eastAsia="맑은 고딕" w:hAnsi="Times New Roman" w:cs="Times New Roman"/>
                <w:color w:val="000000"/>
                <w:kern w:val="0"/>
                <w:sz w:val="16"/>
                <w:szCs w:val="16"/>
              </w:rPr>
              <w:t>s</w:t>
            </w:r>
            <w:r w:rsidRPr="0099655C">
              <w:rPr>
                <w:rFonts w:ascii="Times New Roman" w:eastAsia="맑은 고딕" w:hAnsi="Times New Roman" w:cs="Times New Roman"/>
                <w:color w:val="000000"/>
                <w:kern w:val="0"/>
                <w:sz w:val="16"/>
                <w:szCs w:val="16"/>
              </w:rPr>
              <w:t xml:space="preserve"> of non-member firms </w:t>
            </w:r>
            <w:r>
              <w:rPr>
                <w:rFonts w:ascii="Times New Roman" w:eastAsia="맑은 고딕" w:hAnsi="Times New Roman" w:cs="Times New Roman"/>
                <w:color w:val="000000"/>
                <w:kern w:val="0"/>
                <w:sz w:val="16"/>
                <w:szCs w:val="16"/>
              </w:rPr>
              <w:t>with low and high tangibility ratio</w:t>
            </w:r>
            <w:r w:rsidRPr="0099655C">
              <w:rPr>
                <w:rFonts w:ascii="Times New Roman" w:eastAsia="맑은 고딕" w:hAnsi="Times New Roman" w:cs="Times New Roman"/>
                <w:color w:val="000000"/>
                <w:kern w:val="0"/>
                <w:sz w:val="16"/>
                <w:szCs w:val="16"/>
              </w:rPr>
              <w:t xml:space="preserve">. More specifically, for the coefficients of the same business group influence measure (BSDI and its two orthogonal components: BG MKT Share and ICM size) between </w:t>
            </w:r>
            <w:r>
              <w:rPr>
                <w:rFonts w:ascii="Times New Roman" w:eastAsia="맑은 고딕" w:hAnsi="Times New Roman" w:cs="Times New Roman"/>
                <w:color w:val="000000"/>
                <w:kern w:val="0"/>
                <w:sz w:val="16"/>
                <w:szCs w:val="16"/>
              </w:rPr>
              <w:t xml:space="preserve">the two subsamples, </w:t>
            </w:r>
            <w:r w:rsidRPr="0099655C">
              <w:rPr>
                <w:rFonts w:ascii="Times New Roman" w:eastAsia="맑은 고딕" w:hAnsi="Times New Roman" w:cs="Times New Roman"/>
                <w:color w:val="000000"/>
                <w:kern w:val="0"/>
                <w:sz w:val="16"/>
                <w:szCs w:val="16"/>
              </w:rPr>
              <w:t xml:space="preserve">we calculate their difference and test whether </w:t>
            </w:r>
            <w:r>
              <w:rPr>
                <w:rFonts w:ascii="Times New Roman" w:eastAsia="맑은 고딕" w:hAnsi="Times New Roman" w:cs="Times New Roman"/>
                <w:color w:val="000000"/>
                <w:kern w:val="0"/>
                <w:sz w:val="16"/>
                <w:szCs w:val="16"/>
              </w:rPr>
              <w:t>this difference</w:t>
            </w:r>
            <w:r w:rsidRPr="0099655C">
              <w:rPr>
                <w:rFonts w:ascii="Times New Roman" w:eastAsia="맑은 고딕" w:hAnsi="Times New Roman" w:cs="Times New Roman"/>
                <w:color w:val="000000"/>
                <w:kern w:val="0"/>
                <w:sz w:val="16"/>
                <w:szCs w:val="16"/>
              </w:rPr>
              <w:t xml:space="preserve"> is different from zero based on</w:t>
            </w:r>
            <w:r>
              <w:rPr>
                <w:rFonts w:ascii="Times New Roman" w:eastAsia="맑은 고딕" w:hAnsi="Times New Roman" w:cs="Times New Roman"/>
                <w:color w:val="000000"/>
                <w:kern w:val="0"/>
                <w:sz w:val="16"/>
                <w:szCs w:val="16"/>
              </w:rPr>
              <w:t xml:space="preserve"> the Z test developed by </w:t>
            </w:r>
            <w:proofErr w:type="spellStart"/>
            <w:r>
              <w:rPr>
                <w:rFonts w:ascii="Times New Roman" w:eastAsia="맑은 고딕" w:hAnsi="Times New Roman" w:cs="Times New Roman"/>
                <w:color w:val="000000"/>
                <w:kern w:val="0"/>
                <w:sz w:val="16"/>
                <w:szCs w:val="16"/>
              </w:rPr>
              <w:t>Clogg</w:t>
            </w:r>
            <w:proofErr w:type="spellEnd"/>
            <w:r>
              <w:rPr>
                <w:rFonts w:ascii="Times New Roman" w:eastAsia="맑은 고딕" w:hAnsi="Times New Roman" w:cs="Times New Roman"/>
                <w:color w:val="000000"/>
                <w:kern w:val="0"/>
                <w:sz w:val="16"/>
                <w:szCs w:val="16"/>
              </w:rPr>
              <w:t xml:space="preserve"> et al. </w:t>
            </w:r>
            <w:r w:rsidRPr="0099655C">
              <w:rPr>
                <w:rFonts w:ascii="Times New Roman" w:eastAsia="맑은 고딕" w:hAnsi="Times New Roman" w:cs="Times New Roman"/>
                <w:color w:val="000000"/>
                <w:kern w:val="0"/>
                <w:sz w:val="16"/>
                <w:szCs w:val="16"/>
              </w:rPr>
              <w:t>(1995).</w:t>
            </w:r>
            <w:r>
              <w:rPr>
                <w:rFonts w:ascii="Times New Roman" w:eastAsia="맑은 고딕" w:hAnsi="Times New Roman" w:cs="Times New Roman"/>
                <w:color w:val="000000"/>
                <w:kern w:val="0"/>
                <w:sz w:val="16"/>
                <w:szCs w:val="16"/>
              </w:rPr>
              <w:t xml:space="preserve"> </w:t>
            </w:r>
            <w:r w:rsidRPr="00AE58BE">
              <w:rPr>
                <w:rFonts w:ascii="Times New Roman" w:eastAsia="굴림" w:hAnsi="Times New Roman" w:cs="Times New Roman"/>
                <w:kern w:val="0"/>
                <w:sz w:val="16"/>
                <w:szCs w:val="16"/>
              </w:rPr>
              <w:t xml:space="preserve">For more detailed variable definition, please refer to Section </w:t>
            </w:r>
            <w:r w:rsidR="00886B05">
              <w:rPr>
                <w:rFonts w:ascii="Times New Roman" w:eastAsia="굴림" w:hAnsi="Times New Roman" w:cs="Times New Roman"/>
                <w:kern w:val="0"/>
                <w:sz w:val="16"/>
                <w:szCs w:val="16"/>
              </w:rPr>
              <w:fldChar w:fldCharType="begin"/>
            </w:r>
            <w:r w:rsidR="00D01EDF">
              <w:rPr>
                <w:rFonts w:ascii="Times New Roman" w:eastAsia="SimSun" w:hAnsi="Times New Roman" w:cs="Times New Roman"/>
                <w:kern w:val="0"/>
                <w:sz w:val="16"/>
                <w:szCs w:val="16"/>
                <w:lang w:eastAsia="zh-CN"/>
              </w:rPr>
              <w:instrText xml:space="preserve"> </w:instrText>
            </w:r>
            <w:r w:rsidR="00D01EDF">
              <w:rPr>
                <w:rFonts w:ascii="Times New Roman" w:eastAsia="SimSun" w:hAnsi="Times New Roman" w:cs="Times New Roman" w:hint="eastAsia"/>
                <w:kern w:val="0"/>
                <w:sz w:val="16"/>
                <w:szCs w:val="16"/>
                <w:lang w:eastAsia="zh-CN"/>
              </w:rPr>
              <w:instrText>= 3 \* ROMAN</w:instrText>
            </w:r>
            <w:r w:rsidR="00D01EDF">
              <w:rPr>
                <w:rFonts w:ascii="Times New Roman" w:eastAsia="SimSun" w:hAnsi="Times New Roman" w:cs="Times New Roman"/>
                <w:kern w:val="0"/>
                <w:sz w:val="16"/>
                <w:szCs w:val="16"/>
                <w:lang w:eastAsia="zh-CN"/>
              </w:rPr>
              <w:instrText xml:space="preserve"> </w:instrText>
            </w:r>
            <w:r w:rsidR="00886B05">
              <w:rPr>
                <w:rFonts w:ascii="Times New Roman" w:eastAsia="굴림" w:hAnsi="Times New Roman" w:cs="Times New Roman"/>
                <w:kern w:val="0"/>
                <w:sz w:val="16"/>
                <w:szCs w:val="16"/>
              </w:rPr>
              <w:fldChar w:fldCharType="separate"/>
            </w:r>
            <w:r w:rsidR="00D01EDF">
              <w:rPr>
                <w:rFonts w:ascii="Times New Roman" w:eastAsia="SimSun" w:hAnsi="Times New Roman" w:cs="Times New Roman"/>
                <w:noProof/>
                <w:kern w:val="0"/>
                <w:sz w:val="16"/>
                <w:szCs w:val="16"/>
                <w:lang w:eastAsia="zh-CN"/>
              </w:rPr>
              <w:t>III</w:t>
            </w:r>
            <w:r w:rsidR="00886B05">
              <w:rPr>
                <w:rFonts w:ascii="Times New Roman" w:eastAsia="굴림" w:hAnsi="Times New Roman" w:cs="Times New Roman"/>
                <w:kern w:val="0"/>
                <w:sz w:val="16"/>
                <w:szCs w:val="16"/>
              </w:rPr>
              <w:fldChar w:fldCharType="end"/>
            </w:r>
            <w:r>
              <w:rPr>
                <w:rFonts w:ascii="Times New Roman" w:eastAsia="굴림" w:hAnsi="Times New Roman" w:cs="Times New Roman"/>
                <w:kern w:val="0"/>
                <w:sz w:val="16"/>
                <w:szCs w:val="16"/>
              </w:rPr>
              <w:t>.</w:t>
            </w:r>
            <w:r w:rsidRPr="0099655C">
              <w:rPr>
                <w:rFonts w:ascii="Times New Roman" w:eastAsia="맑은 고딕" w:hAnsi="Times New Roman" w:cs="Times New Roman"/>
                <w:color w:val="000000"/>
                <w:kern w:val="0"/>
                <w:sz w:val="16"/>
                <w:szCs w:val="16"/>
              </w:rPr>
              <w:t xml:space="preserve"> </w:t>
            </w:r>
            <w:r w:rsidRPr="00AE58BE">
              <w:rPr>
                <w:rFonts w:ascii="Times New Roman" w:eastAsia="굴림" w:hAnsi="Times New Roman" w:cs="Times New Roman"/>
                <w:kern w:val="0"/>
                <w:sz w:val="16"/>
                <w:szCs w:val="16"/>
              </w:rPr>
              <w:t>Numbers in the parentheses are firm level clustered robust t statistic.</w:t>
            </w:r>
            <w:r>
              <w:rPr>
                <w:rFonts w:ascii="Times New Roman" w:eastAsia="굴림" w:hAnsi="Times New Roman" w:cs="Times New Roman"/>
                <w:kern w:val="0"/>
                <w:sz w:val="16"/>
                <w:szCs w:val="16"/>
              </w:rPr>
              <w:t xml:space="preserve"> </w:t>
            </w:r>
            <w:r>
              <w:rPr>
                <w:rFonts w:ascii="Times New Roman" w:eastAsia="맑은 고딕" w:hAnsi="Times New Roman" w:cs="Times New Roman"/>
                <w:color w:val="000000"/>
                <w:kern w:val="0"/>
                <w:sz w:val="16"/>
                <w:szCs w:val="16"/>
              </w:rPr>
              <w:t>N</w:t>
            </w:r>
            <w:r w:rsidRPr="0099655C">
              <w:rPr>
                <w:rFonts w:ascii="Times New Roman" w:eastAsia="맑은 고딕" w:hAnsi="Times New Roman" w:cs="Times New Roman"/>
                <w:color w:val="000000"/>
                <w:kern w:val="0"/>
                <w:sz w:val="16"/>
                <w:szCs w:val="16"/>
              </w:rPr>
              <w:t xml:space="preserve">umbers in the </w:t>
            </w:r>
            <w:r>
              <w:rPr>
                <w:rFonts w:ascii="Times New Roman" w:eastAsia="맑은 고딕" w:hAnsi="Times New Roman" w:cs="Times New Roman"/>
                <w:color w:val="000000"/>
                <w:kern w:val="0"/>
                <w:sz w:val="16"/>
                <w:szCs w:val="16"/>
              </w:rPr>
              <w:t>brackets</w:t>
            </w:r>
            <w:r w:rsidRPr="0099655C">
              <w:rPr>
                <w:rFonts w:ascii="Times New Roman" w:eastAsia="맑은 고딕" w:hAnsi="Times New Roman" w:cs="Times New Roman"/>
                <w:color w:val="000000"/>
                <w:kern w:val="0"/>
                <w:sz w:val="16"/>
                <w:szCs w:val="16"/>
              </w:rPr>
              <w:t xml:space="preserve"> are Z test statistics. </w:t>
            </w:r>
            <w:r w:rsidRPr="00AE58BE">
              <w:rPr>
                <w:rFonts w:ascii="Times New Roman" w:eastAsia="굴림" w:hAnsi="Times New Roman" w:cs="Times New Roman"/>
                <w:kern w:val="0"/>
                <w:sz w:val="16"/>
                <w:szCs w:val="16"/>
              </w:rPr>
              <w:t xml:space="preserve">*,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6"/>
                <w:szCs w:val="16"/>
              </w:rPr>
              <w:t>is</w:t>
            </w:r>
            <w:r w:rsidRPr="00AE58BE">
              <w:rPr>
                <w:rFonts w:ascii="Times New Roman" w:eastAsia="굴림" w:hAnsi="Times New Roman" w:cs="Times New Roman"/>
                <w:kern w:val="0"/>
                <w:sz w:val="16"/>
                <w:szCs w:val="16"/>
              </w:rPr>
              <w:t xml:space="preserve"> excluded from the sample.</w:t>
            </w:r>
          </w:p>
        </w:tc>
      </w:tr>
      <w:tr w:rsidR="00267B32" w:rsidRPr="00161760" w:rsidTr="00D01EDF">
        <w:trPr>
          <w:trHeight w:val="255"/>
        </w:trPr>
        <w:tc>
          <w:tcPr>
            <w:tcW w:w="426" w:type="pct"/>
            <w:tcBorders>
              <w:top w:val="single" w:sz="4" w:space="0" w:color="000000"/>
            </w:tcBorders>
            <w:noWrap/>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 xml:space="preserve">　</w:t>
            </w:r>
          </w:p>
        </w:tc>
        <w:tc>
          <w:tcPr>
            <w:tcW w:w="2288" w:type="pct"/>
            <w:gridSpan w:val="7"/>
            <w:tcBorders>
              <w:top w:val="single" w:sz="4" w:space="0" w:color="000000"/>
            </w:tcBorders>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hint="eastAsia"/>
                <w:kern w:val="0"/>
                <w:sz w:val="16"/>
                <w:szCs w:val="16"/>
              </w:rPr>
              <w:t>Low</w:t>
            </w:r>
            <w:r w:rsidRPr="00161760">
              <w:rPr>
                <w:rFonts w:ascii="Times New Roman" w:eastAsia="굴림" w:hAnsi="Times New Roman" w:cs="Times New Roman"/>
                <w:kern w:val="0"/>
                <w:sz w:val="16"/>
                <w:szCs w:val="16"/>
              </w:rPr>
              <w:t xml:space="preserve"> Tangibility</w:t>
            </w:r>
          </w:p>
        </w:tc>
        <w:tc>
          <w:tcPr>
            <w:tcW w:w="2285" w:type="pct"/>
            <w:gridSpan w:val="7"/>
            <w:tcBorders>
              <w:top w:val="single" w:sz="4" w:space="0" w:color="000000"/>
            </w:tcBorders>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hint="eastAsia"/>
                <w:kern w:val="0"/>
                <w:sz w:val="16"/>
                <w:szCs w:val="16"/>
              </w:rPr>
              <w:t>High</w:t>
            </w:r>
            <w:r w:rsidRPr="00161760">
              <w:rPr>
                <w:rFonts w:ascii="Times New Roman" w:eastAsia="굴림" w:hAnsi="Times New Roman" w:cs="Times New Roman"/>
                <w:kern w:val="0"/>
                <w:sz w:val="16"/>
                <w:szCs w:val="16"/>
              </w:rPr>
              <w:t xml:space="preserve"> Tangibility</w:t>
            </w:r>
          </w:p>
        </w:tc>
      </w:tr>
      <w:tr w:rsidR="00267B32" w:rsidRPr="00161760" w:rsidTr="00D01EDF">
        <w:trPr>
          <w:trHeight w:val="255"/>
        </w:trPr>
        <w:tc>
          <w:tcPr>
            <w:tcW w:w="426" w:type="pct"/>
            <w:noWrap/>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1144" w:type="pct"/>
            <w:gridSpan w:val="4"/>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KL-score</w:t>
            </w:r>
          </w:p>
        </w:tc>
        <w:tc>
          <w:tcPr>
            <w:tcW w:w="1144" w:type="pct"/>
            <w:gridSpan w:val="3"/>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KM-score</w:t>
            </w:r>
          </w:p>
        </w:tc>
        <w:tc>
          <w:tcPr>
            <w:tcW w:w="1144" w:type="pct"/>
            <w:gridSpan w:val="4"/>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KL-score</w:t>
            </w:r>
          </w:p>
        </w:tc>
        <w:tc>
          <w:tcPr>
            <w:tcW w:w="1141" w:type="pct"/>
            <w:gridSpan w:val="3"/>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KM-score</w:t>
            </w:r>
          </w:p>
        </w:tc>
      </w:tr>
      <w:tr w:rsidR="00267B32" w:rsidRPr="00161760" w:rsidTr="00D01EDF">
        <w:trPr>
          <w:trHeight w:val="255"/>
        </w:trPr>
        <w:tc>
          <w:tcPr>
            <w:tcW w:w="426" w:type="pct"/>
            <w:tcBorders>
              <w:bottom w:val="single" w:sz="4" w:space="0" w:color="000000"/>
            </w:tcBorders>
            <w:noWrap/>
          </w:tcPr>
          <w:p w:rsidR="00267B32" w:rsidRPr="00161760" w:rsidRDefault="00267B32" w:rsidP="00267B32">
            <w:pPr>
              <w:widowControl/>
              <w:wordWrap/>
              <w:autoSpaceDE/>
              <w:autoSpaceDN/>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VARIABLES</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(1)</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(2)</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(3)</w:t>
            </w:r>
          </w:p>
        </w:tc>
        <w:tc>
          <w:tcPr>
            <w:tcW w:w="572" w:type="pct"/>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(4)</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(5)</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(6)</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(7)</w:t>
            </w:r>
          </w:p>
        </w:tc>
        <w:tc>
          <w:tcPr>
            <w:tcW w:w="569" w:type="pct"/>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(8)</w:t>
            </w:r>
          </w:p>
        </w:tc>
      </w:tr>
      <w:tr w:rsidR="00267B32" w:rsidRPr="00161760" w:rsidTr="00267B32">
        <w:trPr>
          <w:trHeight w:val="255"/>
        </w:trPr>
        <w:tc>
          <w:tcPr>
            <w:tcW w:w="5000" w:type="pct"/>
            <w:gridSpan w:val="15"/>
            <w:tcBorders>
              <w:top w:val="single" w:sz="4" w:space="0" w:color="000000"/>
              <w:bottom w:val="single" w:sz="4" w:space="0" w:color="000000"/>
            </w:tcBorders>
            <w:noWrap/>
            <w:vAlign w:val="center"/>
          </w:tcPr>
          <w:p w:rsidR="00267B32" w:rsidRPr="00E41C98" w:rsidRDefault="00267B32" w:rsidP="00267B32">
            <w:pPr>
              <w:widowControl/>
              <w:wordWrap/>
              <w:autoSpaceDE/>
              <w:autoSpaceDN/>
              <w:rPr>
                <w:rFonts w:ascii="Times New Roman" w:eastAsia="굴림" w:hAnsi="Times New Roman" w:cs="Times New Roman"/>
                <w:kern w:val="0"/>
                <w:sz w:val="16"/>
                <w:szCs w:val="16"/>
              </w:rPr>
            </w:pPr>
            <w:r>
              <w:rPr>
                <w:rFonts w:ascii="Times New Roman" w:eastAsia="굴림" w:hAnsi="Times New Roman" w:cs="Times New Roman"/>
                <w:kern w:val="0"/>
                <w:sz w:val="16"/>
                <w:szCs w:val="16"/>
              </w:rPr>
              <w:t>Panel A: Regression Results</w:t>
            </w:r>
          </w:p>
        </w:tc>
      </w:tr>
      <w:tr w:rsidR="00267B32" w:rsidRPr="00161760" w:rsidTr="00D01EDF">
        <w:trPr>
          <w:trHeight w:val="255"/>
        </w:trPr>
        <w:tc>
          <w:tcPr>
            <w:tcW w:w="426" w:type="pct"/>
            <w:vMerge w:val="restart"/>
            <w:tcBorders>
              <w:top w:val="single" w:sz="4" w:space="0" w:color="000000"/>
            </w:tcBorders>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BSDI</w:t>
            </w: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1.2265***</w:t>
            </w: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1.8651***</w:t>
            </w:r>
          </w:p>
        </w:tc>
        <w:tc>
          <w:tcPr>
            <w:tcW w:w="572" w:type="pct"/>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0.5685***</w:t>
            </w: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0.6975***</w:t>
            </w:r>
          </w:p>
        </w:tc>
        <w:tc>
          <w:tcPr>
            <w:tcW w:w="569" w:type="pct"/>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(4.87)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(5.44)</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(4.07)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(3.50)</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r>
      <w:tr w:rsidR="00D01EDF" w:rsidRPr="00161760"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BG MKT Share</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1.0634**</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1.8973***</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0.7718***</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69"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1.0035***</w:t>
            </w:r>
          </w:p>
        </w:tc>
      </w:tr>
      <w:tr w:rsidR="00D01EDF" w:rsidRPr="00161760" w:rsidTr="00D01EDF">
        <w:trPr>
          <w:trHeight w:val="255"/>
        </w:trPr>
        <w:tc>
          <w:tcPr>
            <w:tcW w:w="426" w:type="pct"/>
            <w:vMerge/>
            <w:noWrap/>
            <w:vAlign w:val="center"/>
            <w:hideMark/>
          </w:tcPr>
          <w:p w:rsidR="00D01EDF" w:rsidRPr="00161760" w:rsidRDefault="00D01EDF" w:rsidP="00D01EDF">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(2.33)</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(3.05)</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(3.37)</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69"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(3.12)</w:t>
            </w:r>
          </w:p>
        </w:tc>
      </w:tr>
      <w:tr w:rsidR="00D01EDF" w:rsidRPr="00161760"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ICM Size</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1.3132***</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1.8481***</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0.4693***</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69"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0.5480**</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(4.50)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(4.50)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(2.79)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(2.29)</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HHI</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-0.0817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-0.0594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-0.2238</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-0.2282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-0.1833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-0.2292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-0.1226</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-0.1917</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(-0.84)</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(-1.28)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(-1.56)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(-0.62)</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(-0.95)</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Size</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-0.8704***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-0.8706***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-0.6475***</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-0.6475***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-0.7975***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-0.7974***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-0.6381***</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-0.6380***</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(-60.01)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(-60.14)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(-31.25)</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(-31.29)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(-63.18)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(-63.17)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(-34.04)</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(-34.03)</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Leverage Ratio</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0.0025***</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0.0027***</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0.0027***</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(3.54)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(3.54)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(2.82)</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(2.82)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(7.03)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(5.56)</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(5.57)</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Profitability</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-0.1838***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-0.1837***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0.0532**</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0.0532**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-0.3349***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-0.3351***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-0.1274***</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-0.1276***</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(-10.12)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(-10.12)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(2.02)</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(2.02)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(-18.27)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(-18.27)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(-4.70)</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(-4.71)</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R&amp;D Intensity</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-0.4461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-0.4409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0.9544</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0.9534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-2.4696***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-2.4804***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-2.3316**</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-2.3479**</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(0.61)</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(-3.68)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(-3.69)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(-2.43)</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(-2.45)</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Risk Free Rate</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-0.0533***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-0.0543***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0.0127</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0.0129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-0.0464***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-0.0451***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0.0086</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0.0106</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(-3.24)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(-3.30)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(0.56)</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(-5.35)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(-5.15)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(0.70)</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(0.85)</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Constant</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10.0452***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10.0663***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8.9339***</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8.9298***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9.4587***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9.4381***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9.0926***</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9.0616***</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(60.95)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(60.04)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(37.58)</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(36.94)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(67.84)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(67.15)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(43.88)</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(43.39)</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lastRenderedPageBreak/>
              <w:t>Year Effects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69" w:type="pct"/>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Firm Effects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72" w:type="pct"/>
            <w:gridSpan w:val="2"/>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c>
          <w:tcPr>
            <w:tcW w:w="569" w:type="pct"/>
            <w:noWrap/>
            <w:vAlign w:val="center"/>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Yes</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Observations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58,519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58,519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58,519</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58,519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136,579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136,579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136,579</w:t>
            </w:r>
          </w:p>
        </w:tc>
        <w:tc>
          <w:tcPr>
            <w:tcW w:w="569"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136,579</w:t>
            </w:r>
          </w:p>
        </w:tc>
      </w:tr>
      <w:tr w:rsidR="00267B32" w:rsidRPr="00161760" w:rsidTr="00D01EDF">
        <w:trPr>
          <w:trHeight w:val="255"/>
        </w:trPr>
        <w:tc>
          <w:tcPr>
            <w:tcW w:w="426" w:type="pct"/>
            <w:tcBorders>
              <w:bottom w:val="single" w:sz="4" w:space="0" w:color="000000"/>
            </w:tcBorders>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Within R</w:t>
            </w:r>
            <w:r>
              <w:rPr>
                <w:rFonts w:ascii="Times New Roman" w:eastAsia="굴림" w:hAnsi="Times New Roman" w:cs="Times New Roman"/>
                <w:kern w:val="0"/>
                <w:sz w:val="16"/>
                <w:szCs w:val="16"/>
              </w:rPr>
              <w:t>^2</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0.3433</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0.3433</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0.1056</w:t>
            </w:r>
          </w:p>
        </w:tc>
        <w:tc>
          <w:tcPr>
            <w:tcW w:w="572" w:type="pct"/>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0.1056</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0.2563</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0.2563</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0.0894</w:t>
            </w:r>
          </w:p>
        </w:tc>
        <w:tc>
          <w:tcPr>
            <w:tcW w:w="569" w:type="pct"/>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0.0894</w:t>
            </w:r>
          </w:p>
        </w:tc>
      </w:tr>
      <w:tr w:rsidR="00267B32" w:rsidRPr="00161760" w:rsidTr="00267B32">
        <w:trPr>
          <w:trHeight w:val="255"/>
        </w:trPr>
        <w:tc>
          <w:tcPr>
            <w:tcW w:w="5000" w:type="pct"/>
            <w:gridSpan w:val="15"/>
            <w:tcBorders>
              <w:top w:val="single" w:sz="4" w:space="0" w:color="000000"/>
              <w:bottom w:val="single" w:sz="4" w:space="0" w:color="000000"/>
            </w:tcBorders>
            <w:noWrap/>
          </w:tcPr>
          <w:p w:rsidR="00267B32" w:rsidRPr="00E41C98"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 xml:space="preserve">Panel B: </w:t>
            </w:r>
            <w:r w:rsidRPr="00486025">
              <w:rPr>
                <w:rFonts w:ascii="Times New Roman" w:eastAsia="맑은 고딕" w:hAnsi="Times New Roman" w:cs="Times New Roman"/>
                <w:color w:val="000000"/>
                <w:kern w:val="0"/>
                <w:sz w:val="16"/>
                <w:szCs w:val="16"/>
              </w:rPr>
              <w:t>Comparison of Business Group’s Influence between</w:t>
            </w:r>
            <w:r>
              <w:rPr>
                <w:rFonts w:ascii="Times New Roman" w:eastAsia="맑은 고딕" w:hAnsi="Times New Roman" w:cs="Times New Roman"/>
                <w:color w:val="000000"/>
                <w:kern w:val="0"/>
                <w:sz w:val="16"/>
                <w:szCs w:val="16"/>
              </w:rPr>
              <w:t xml:space="preserve"> High </w:t>
            </w:r>
            <w:r w:rsidR="00D01EDF">
              <w:rPr>
                <w:rFonts w:ascii="Times New Roman" w:eastAsia="맑은 고딕" w:hAnsi="Times New Roman" w:cs="Times New Roman"/>
                <w:color w:val="000000"/>
                <w:kern w:val="0"/>
                <w:sz w:val="16"/>
                <w:szCs w:val="16"/>
              </w:rPr>
              <w:t>and Low Tangibility Non-member F</w:t>
            </w:r>
            <w:r>
              <w:rPr>
                <w:rFonts w:ascii="Times New Roman" w:eastAsia="맑은 고딕" w:hAnsi="Times New Roman" w:cs="Times New Roman"/>
                <w:color w:val="000000"/>
                <w:kern w:val="0"/>
                <w:sz w:val="16"/>
                <w:szCs w:val="16"/>
              </w:rPr>
              <w:t>irms</w:t>
            </w:r>
          </w:p>
        </w:tc>
      </w:tr>
      <w:tr w:rsidR="00267B32" w:rsidRPr="00161760" w:rsidTr="00D01EDF">
        <w:trPr>
          <w:trHeight w:val="255"/>
        </w:trPr>
        <w:tc>
          <w:tcPr>
            <w:tcW w:w="555" w:type="pct"/>
            <w:gridSpan w:val="2"/>
            <w:tcBorders>
              <w:top w:val="single" w:sz="4" w:space="0" w:color="000000"/>
            </w:tcBorders>
            <w:noWrap/>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p>
        </w:tc>
        <w:tc>
          <w:tcPr>
            <w:tcW w:w="1482" w:type="pct"/>
            <w:gridSpan w:val="4"/>
            <w:tcBorders>
              <w:top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BSDI</w:t>
            </w:r>
          </w:p>
        </w:tc>
        <w:tc>
          <w:tcPr>
            <w:tcW w:w="1482" w:type="pct"/>
            <w:gridSpan w:val="5"/>
            <w:tcBorders>
              <w:top w:val="single" w:sz="4" w:space="0" w:color="000000"/>
            </w:tcBorders>
            <w:noWrap/>
          </w:tcPr>
          <w:p w:rsidR="00267B32" w:rsidRPr="0099655C" w:rsidRDefault="00D01EDF" w:rsidP="00D01EDF">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 xml:space="preserve">BG </w:t>
            </w:r>
            <w:r w:rsidR="00267B32" w:rsidRPr="0099655C">
              <w:rPr>
                <w:rFonts w:ascii="Times New Roman" w:eastAsia="맑은 고딕" w:hAnsi="Times New Roman" w:cs="Times New Roman"/>
                <w:color w:val="000000"/>
                <w:kern w:val="0"/>
                <w:sz w:val="16"/>
                <w:szCs w:val="16"/>
              </w:rPr>
              <w:t xml:space="preserve">MKT </w:t>
            </w:r>
            <w:r>
              <w:rPr>
                <w:rFonts w:ascii="Times New Roman" w:eastAsia="맑은 고딕" w:hAnsi="Times New Roman" w:cs="Times New Roman"/>
                <w:color w:val="000000"/>
                <w:kern w:val="0"/>
                <w:sz w:val="16"/>
                <w:szCs w:val="16"/>
              </w:rPr>
              <w:t>Share</w:t>
            </w:r>
          </w:p>
        </w:tc>
        <w:tc>
          <w:tcPr>
            <w:tcW w:w="1480" w:type="pct"/>
            <w:gridSpan w:val="4"/>
            <w:tcBorders>
              <w:top w:val="single" w:sz="4" w:space="0" w:color="000000"/>
            </w:tcBorders>
            <w:noWrap/>
          </w:tcPr>
          <w:p w:rsidR="00267B32" w:rsidRPr="0099655C" w:rsidRDefault="00267B32" w:rsidP="00D01EDF">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ICM</w:t>
            </w:r>
            <w:r w:rsidR="00D01EDF">
              <w:rPr>
                <w:rFonts w:ascii="Times New Roman" w:eastAsia="맑은 고딕" w:hAnsi="Times New Roman" w:cs="Times New Roman"/>
                <w:color w:val="000000"/>
                <w:kern w:val="0"/>
                <w:sz w:val="16"/>
                <w:szCs w:val="16"/>
              </w:rPr>
              <w:t xml:space="preserve"> Size</w:t>
            </w:r>
          </w:p>
        </w:tc>
      </w:tr>
      <w:tr w:rsidR="00267B32" w:rsidRPr="00161760" w:rsidTr="00D01EDF">
        <w:trPr>
          <w:trHeight w:val="255"/>
        </w:trPr>
        <w:tc>
          <w:tcPr>
            <w:tcW w:w="555" w:type="pct"/>
            <w:gridSpan w:val="2"/>
            <w:tcBorders>
              <w:bottom w:val="single" w:sz="4" w:space="0" w:color="000000"/>
            </w:tcBorders>
            <w:noWrap/>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(1)</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5</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3</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7</w:t>
            </w:r>
            <w:r>
              <w:rPr>
                <w:rFonts w:ascii="Times New Roman" w:eastAsia="맑은 고딕" w:hAnsi="Times New Roman" w:cs="Times New Roman"/>
                <w:color w:val="000000"/>
                <w:kern w:val="0"/>
                <w:sz w:val="16"/>
                <w:szCs w:val="16"/>
              </w:rPr>
              <w:t>)</w:t>
            </w:r>
          </w:p>
        </w:tc>
        <w:tc>
          <w:tcPr>
            <w:tcW w:w="741" w:type="pct"/>
            <w:gridSpan w:val="3"/>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6</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4</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8</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6</w:t>
            </w:r>
            <w:r>
              <w:rPr>
                <w:rFonts w:ascii="Times New Roman" w:eastAsia="맑은 고딕" w:hAnsi="Times New Roman" w:cs="Times New Roman"/>
                <w:color w:val="000000"/>
                <w:kern w:val="0"/>
                <w:sz w:val="16"/>
                <w:szCs w:val="16"/>
              </w:rPr>
              <w:t>)</w:t>
            </w:r>
          </w:p>
        </w:tc>
        <w:tc>
          <w:tcPr>
            <w:tcW w:w="739"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4</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8</w:t>
            </w:r>
            <w:r>
              <w:rPr>
                <w:rFonts w:ascii="Times New Roman" w:eastAsia="맑은 고딕" w:hAnsi="Times New Roman" w:cs="Times New Roman"/>
                <w:color w:val="000000"/>
                <w:kern w:val="0"/>
                <w:sz w:val="16"/>
                <w:szCs w:val="16"/>
              </w:rPr>
              <w:t>)</w:t>
            </w:r>
          </w:p>
        </w:tc>
      </w:tr>
      <w:tr w:rsidR="00267B32" w:rsidRPr="00161760" w:rsidTr="00D01EDF">
        <w:trPr>
          <w:trHeight w:val="287"/>
        </w:trPr>
        <w:tc>
          <w:tcPr>
            <w:tcW w:w="555" w:type="pct"/>
            <w:gridSpan w:val="2"/>
            <w:tcBorders>
              <w:top w:val="single" w:sz="4" w:space="0" w:color="000000"/>
            </w:tcBorders>
            <w:noWrap/>
          </w:tcPr>
          <w:p w:rsidR="00267B32" w:rsidRPr="0099655C" w:rsidRDefault="00267B32" w:rsidP="00267B32">
            <w:pPr>
              <w:widowControl/>
              <w:wordWrap/>
              <w:autoSpaceDE/>
              <w:autoSpaceDN/>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 xml:space="preserve">Difference in </w:t>
            </w:r>
            <w:proofErr w:type="spellStart"/>
            <w:r>
              <w:rPr>
                <w:rFonts w:ascii="Times New Roman" w:eastAsia="맑은 고딕" w:hAnsi="Times New Roman" w:cs="Times New Roman"/>
                <w:color w:val="000000"/>
                <w:kern w:val="0"/>
                <w:sz w:val="16"/>
                <w:szCs w:val="16"/>
              </w:rPr>
              <w:t>Coeff</w:t>
            </w:r>
            <w:proofErr w:type="spellEnd"/>
            <w:r>
              <w:rPr>
                <w:rFonts w:ascii="Times New Roman" w:eastAsia="맑은 고딕" w:hAnsi="Times New Roman" w:cs="Times New Roman"/>
                <w:color w:val="000000"/>
                <w:kern w:val="0"/>
                <w:sz w:val="16"/>
                <w:szCs w:val="16"/>
              </w:rPr>
              <w:t>.</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0.658**</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1.1676***</w:t>
            </w:r>
          </w:p>
        </w:tc>
        <w:tc>
          <w:tcPr>
            <w:tcW w:w="741" w:type="pct"/>
            <w:gridSpan w:val="3"/>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0.2916</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0.8938</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0.8439**</w:t>
            </w:r>
          </w:p>
        </w:tc>
        <w:tc>
          <w:tcPr>
            <w:tcW w:w="739"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1.3001***</w:t>
            </w:r>
          </w:p>
        </w:tc>
      </w:tr>
      <w:tr w:rsidR="00267B32" w:rsidRPr="00161760" w:rsidTr="00D01EDF">
        <w:trPr>
          <w:trHeight w:val="255"/>
        </w:trPr>
        <w:tc>
          <w:tcPr>
            <w:tcW w:w="555"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2.28</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2.94</w:t>
            </w:r>
            <w:r>
              <w:rPr>
                <w:rFonts w:ascii="Times New Roman" w:eastAsia="맑은 고딕" w:hAnsi="Times New Roman" w:cs="Times New Roman"/>
                <w:color w:val="000000"/>
                <w:kern w:val="0"/>
                <w:sz w:val="16"/>
                <w:szCs w:val="16"/>
              </w:rPr>
              <w:t>]</w:t>
            </w:r>
          </w:p>
        </w:tc>
        <w:tc>
          <w:tcPr>
            <w:tcW w:w="741" w:type="pct"/>
            <w:gridSpan w:val="3"/>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0.57</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1.28</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2.51</w:t>
            </w:r>
            <w:r>
              <w:rPr>
                <w:rFonts w:ascii="Times New Roman" w:eastAsia="맑은 고딕" w:hAnsi="Times New Roman" w:cs="Times New Roman"/>
                <w:color w:val="000000"/>
                <w:kern w:val="0"/>
                <w:sz w:val="16"/>
                <w:szCs w:val="16"/>
              </w:rPr>
              <w:t>]</w:t>
            </w:r>
          </w:p>
        </w:tc>
        <w:tc>
          <w:tcPr>
            <w:tcW w:w="739"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2.74</w:t>
            </w:r>
            <w:r>
              <w:rPr>
                <w:rFonts w:ascii="Times New Roman" w:eastAsia="맑은 고딕" w:hAnsi="Times New Roman" w:cs="Times New Roman"/>
                <w:color w:val="000000"/>
                <w:kern w:val="0"/>
                <w:sz w:val="16"/>
                <w:szCs w:val="16"/>
              </w:rPr>
              <w:t>]</w:t>
            </w:r>
          </w:p>
        </w:tc>
      </w:tr>
    </w:tbl>
    <w:p w:rsidR="00DC23A6" w:rsidRDefault="00DC23A6"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sectPr w:rsidR="00267B32" w:rsidSect="00DC23A6">
          <w:pgSz w:w="16838" w:h="11906" w:orient="landscape"/>
          <w:pgMar w:top="1440" w:right="1440" w:bottom="1440" w:left="1440" w:header="720" w:footer="720" w:gutter="0"/>
          <w:pgNumType w:fmt="numberInDash"/>
          <w:cols w:space="720"/>
          <w:docGrid w:linePitch="360"/>
        </w:sectPr>
      </w:pP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07"/>
        <w:gridCol w:w="365"/>
        <w:gridCol w:w="1252"/>
        <w:gridCol w:w="848"/>
        <w:gridCol w:w="777"/>
        <w:gridCol w:w="1324"/>
        <w:gridCol w:w="298"/>
        <w:gridCol w:w="1622"/>
        <w:gridCol w:w="181"/>
        <w:gridCol w:w="1440"/>
        <w:gridCol w:w="661"/>
        <w:gridCol w:w="961"/>
        <w:gridCol w:w="1140"/>
        <w:gridCol w:w="482"/>
        <w:gridCol w:w="1616"/>
      </w:tblGrid>
      <w:tr w:rsidR="00267B32" w:rsidRPr="00161760" w:rsidTr="00267B32">
        <w:trPr>
          <w:trHeight w:val="255"/>
        </w:trPr>
        <w:tc>
          <w:tcPr>
            <w:tcW w:w="5000" w:type="pct"/>
            <w:gridSpan w:val="15"/>
            <w:noWrap/>
            <w:hideMark/>
          </w:tcPr>
          <w:p w:rsidR="00267B32" w:rsidRPr="00161760" w:rsidRDefault="00267B32" w:rsidP="00267B32">
            <w:pPr>
              <w:widowControl/>
              <w:wordWrap/>
              <w:autoSpaceDE/>
              <w:autoSpaceDN/>
              <w:jc w:val="left"/>
              <w:rPr>
                <w:rFonts w:ascii="Times New Roman" w:eastAsia="굴림" w:hAnsi="Times New Roman" w:cs="Times New Roman"/>
                <w:b/>
                <w:kern w:val="0"/>
                <w:sz w:val="16"/>
                <w:szCs w:val="16"/>
              </w:rPr>
            </w:pPr>
            <w:r w:rsidRPr="00682CF1">
              <w:rPr>
                <w:rFonts w:ascii="Times New Roman" w:eastAsia="굴림" w:hAnsi="Times New Roman" w:cs="Times New Roman"/>
                <w:b/>
                <w:kern w:val="0"/>
                <w:sz w:val="16"/>
                <w:szCs w:val="16"/>
              </w:rPr>
              <w:lastRenderedPageBreak/>
              <w:t>Table 7. Negative Shock in the Financial Sector and Business Group’s In</w:t>
            </w:r>
            <w:r w:rsidR="00D01EDF">
              <w:rPr>
                <w:rFonts w:ascii="Times New Roman" w:eastAsia="굴림" w:hAnsi="Times New Roman" w:cs="Times New Roman"/>
                <w:b/>
                <w:kern w:val="0"/>
                <w:sz w:val="16"/>
                <w:szCs w:val="16"/>
              </w:rPr>
              <w:t>fluence on Non-member F</w:t>
            </w:r>
            <w:r w:rsidRPr="00682CF1">
              <w:rPr>
                <w:rFonts w:ascii="Times New Roman" w:eastAsia="굴림" w:hAnsi="Times New Roman" w:cs="Times New Roman"/>
                <w:b/>
                <w:kern w:val="0"/>
                <w:sz w:val="16"/>
                <w:szCs w:val="16"/>
              </w:rPr>
              <w:t>irms’ Financial Distress Risk</w:t>
            </w:r>
          </w:p>
        </w:tc>
      </w:tr>
      <w:tr w:rsidR="00267B32" w:rsidRPr="00161760" w:rsidTr="00267B32">
        <w:trPr>
          <w:trHeight w:val="255"/>
        </w:trPr>
        <w:tc>
          <w:tcPr>
            <w:tcW w:w="5000" w:type="pct"/>
            <w:gridSpan w:val="15"/>
            <w:tcBorders>
              <w:bottom w:val="single" w:sz="4" w:space="0" w:color="000000"/>
            </w:tcBorders>
            <w:noWrap/>
            <w:hideMark/>
          </w:tcPr>
          <w:p w:rsidR="00267B32" w:rsidRPr="00161760" w:rsidRDefault="00267B32" w:rsidP="00D01EDF">
            <w:pPr>
              <w:widowControl/>
              <w:wordWrap/>
              <w:autoSpaceDE/>
              <w:autoSpaceDN/>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This table reports the results that examine whether there is difference in business group’s influence on non-member firms’ financial distress risk when the financial sector experiences a</w:t>
            </w:r>
            <w:r>
              <w:rPr>
                <w:rFonts w:ascii="Times New Roman" w:eastAsia="굴림" w:hAnsi="Times New Roman" w:cs="Times New Roman"/>
                <w:kern w:val="0"/>
                <w:sz w:val="16"/>
                <w:szCs w:val="16"/>
              </w:rPr>
              <w:t>n</w:t>
            </w:r>
            <w:r w:rsidRPr="00682CF1">
              <w:rPr>
                <w:rFonts w:ascii="Times New Roman" w:eastAsia="굴림" w:hAnsi="Times New Roman" w:cs="Times New Roman"/>
                <w:kern w:val="0"/>
                <w:sz w:val="16"/>
                <w:szCs w:val="16"/>
              </w:rPr>
              <w:t xml:space="preserve"> unpredicted negative shock. Following existing literature, we select the recent global financial crisis period as a period of negative financial shock. The remaining periods during our sample period are referred as non-crisis period. </w:t>
            </w:r>
            <w:r w:rsidRPr="00AE58BE">
              <w:rPr>
                <w:rFonts w:ascii="Times New Roman" w:eastAsia="굴림" w:hAnsi="Times New Roman" w:cs="Times New Roman"/>
                <w:kern w:val="0"/>
                <w:sz w:val="16"/>
                <w:szCs w:val="16"/>
              </w:rPr>
              <w:t xml:space="preserve">In order to measure firm’s </w:t>
            </w:r>
            <w:r>
              <w:rPr>
                <w:rFonts w:ascii="Times New Roman" w:eastAsia="굴림" w:hAnsi="Times New Roman" w:cs="Times New Roman" w:hint="eastAsia"/>
                <w:kern w:val="0"/>
                <w:sz w:val="16"/>
                <w:szCs w:val="16"/>
              </w:rPr>
              <w:t>financial distress</w:t>
            </w:r>
            <w:r w:rsidRPr="00AE58BE">
              <w:rPr>
                <w:rFonts w:ascii="Times New Roman" w:eastAsia="굴림" w:hAnsi="Times New Roman" w:cs="Times New Roman"/>
                <w:kern w:val="0"/>
                <w:sz w:val="16"/>
                <w:szCs w:val="16"/>
              </w:rPr>
              <w:t xml:space="preserve"> risk, accounting information based K</w:t>
            </w:r>
            <w:r>
              <w:rPr>
                <w:rFonts w:ascii="Times New Roman" w:eastAsia="굴림" w:hAnsi="Times New Roman" w:cs="Times New Roman"/>
                <w:kern w:val="0"/>
                <w:sz w:val="16"/>
                <w:szCs w:val="16"/>
              </w:rPr>
              <w:t>M</w:t>
            </w:r>
            <w:r w:rsidRPr="00AE58BE">
              <w:rPr>
                <w:rFonts w:ascii="Times New Roman" w:eastAsia="굴림" w:hAnsi="Times New Roman" w:cs="Times New Roman"/>
                <w:kern w:val="0"/>
                <w:sz w:val="16"/>
                <w:szCs w:val="16"/>
              </w:rPr>
              <w:t>-score (Multiple discri</w:t>
            </w:r>
            <w:r w:rsidR="00D01EDF">
              <w:rPr>
                <w:rFonts w:ascii="Times New Roman" w:eastAsia="굴림" w:hAnsi="Times New Roman" w:cs="Times New Roman"/>
                <w:kern w:val="0"/>
                <w:sz w:val="16"/>
                <w:szCs w:val="16"/>
              </w:rPr>
              <w:t>minant analysis) and KL-score (L</w:t>
            </w:r>
            <w:r w:rsidRPr="00AE58BE">
              <w:rPr>
                <w:rFonts w:ascii="Times New Roman" w:eastAsia="굴림" w:hAnsi="Times New Roman" w:cs="Times New Roman"/>
                <w:kern w:val="0"/>
                <w:sz w:val="16"/>
                <w:szCs w:val="16"/>
              </w:rPr>
              <w:t xml:space="preserve">ogit regression analysis) are used. To proxy for industry wide business group </w:t>
            </w:r>
            <w:r>
              <w:rPr>
                <w:rFonts w:ascii="Times New Roman" w:eastAsia="굴림" w:hAnsi="Times New Roman" w:cs="Times New Roman" w:hint="eastAsia"/>
                <w:kern w:val="0"/>
                <w:sz w:val="16"/>
                <w:szCs w:val="16"/>
              </w:rPr>
              <w:t>influence</w:t>
            </w:r>
            <w:r w:rsidRPr="00AE58BE">
              <w:rPr>
                <w:rFonts w:ascii="Times New Roman" w:eastAsia="굴림" w:hAnsi="Times New Roman" w:cs="Times New Roman"/>
                <w:kern w:val="0"/>
                <w:sz w:val="16"/>
                <w:szCs w:val="16"/>
              </w:rPr>
              <w:t>, the business group strength and dominance index (BSDI)</w:t>
            </w:r>
            <w:r>
              <w:rPr>
                <w:rFonts w:ascii="Times New Roman" w:eastAsia="굴림" w:hAnsi="Times New Roman" w:cs="Times New Roman" w:hint="eastAsia"/>
                <w:kern w:val="0"/>
                <w:sz w:val="16"/>
                <w:szCs w:val="16"/>
              </w:rPr>
              <w:t xml:space="preserve">, developed by </w:t>
            </w:r>
            <w:r w:rsidR="00886B05">
              <w:rPr>
                <w:rFonts w:ascii="Times New Roman" w:eastAsia="굴림" w:hAnsi="Times New Roman" w:cs="Times New Roman"/>
                <w:kern w:val="0"/>
                <w:sz w:val="16"/>
                <w:szCs w:val="16"/>
              </w:rPr>
              <w:fldChar w:fldCharType="begin"/>
            </w:r>
            <w:r>
              <w:rPr>
                <w:rFonts w:ascii="Times New Roman" w:eastAsia="굴림" w:hAnsi="Times New Roman" w:cs="Times New Roman"/>
                <w:kern w:val="0"/>
                <w:sz w:val="16"/>
                <w:szCs w:val="16"/>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Pr>
                <w:rFonts w:ascii="Times New Roman" w:eastAsia="굴림" w:hAnsi="Times New Roman" w:cs="Times New Roman"/>
                <w:kern w:val="0"/>
                <w:sz w:val="16"/>
                <w:szCs w:val="16"/>
              </w:rPr>
              <w:fldChar w:fldCharType="separate"/>
            </w:r>
            <w:hyperlink w:anchor="_ENREF_1" w:tooltip="Liu, 2016 #130" w:history="1">
              <w:r>
                <w:rPr>
                  <w:rFonts w:ascii="Times New Roman" w:eastAsia="굴림" w:hAnsi="Times New Roman" w:cs="Times New Roman"/>
                  <w:noProof/>
                  <w:kern w:val="0"/>
                  <w:sz w:val="16"/>
                  <w:szCs w:val="16"/>
                </w:rPr>
                <w:t>Liu et al. (2016</w:t>
              </w:r>
            </w:hyperlink>
            <w:r>
              <w:rPr>
                <w:rFonts w:ascii="Times New Roman" w:eastAsia="굴림" w:hAnsi="Times New Roman" w:cs="Times New Roman"/>
                <w:noProof/>
                <w:kern w:val="0"/>
                <w:sz w:val="16"/>
                <w:szCs w:val="16"/>
              </w:rPr>
              <w:t>)</w:t>
            </w:r>
            <w:r w:rsidR="00886B05">
              <w:rPr>
                <w:rFonts w:ascii="Times New Roman" w:eastAsia="굴림" w:hAnsi="Times New Roman" w:cs="Times New Roman"/>
                <w:kern w:val="0"/>
                <w:sz w:val="16"/>
                <w:szCs w:val="16"/>
              </w:rPr>
              <w:fldChar w:fldCharType="end"/>
            </w:r>
            <w:r>
              <w:rPr>
                <w:rFonts w:ascii="Times New Roman" w:eastAsia="굴림" w:hAnsi="Times New Roman" w:cs="Times New Roman" w:hint="eastAsia"/>
                <w:kern w:val="0"/>
                <w:sz w:val="16"/>
                <w:szCs w:val="16"/>
              </w:rPr>
              <w:t>,</w:t>
            </w:r>
            <w:r w:rsidRPr="00AE58BE">
              <w:rPr>
                <w:rFonts w:ascii="Times New Roman" w:eastAsia="굴림" w:hAnsi="Times New Roman" w:cs="Times New Roman"/>
                <w:kern w:val="0"/>
                <w:sz w:val="16"/>
                <w:szCs w:val="16"/>
              </w:rPr>
              <w:t xml:space="preserve"> is used. The BSDI is also decomposed into two orthogonal c</w:t>
            </w:r>
            <w:r>
              <w:rPr>
                <w:rFonts w:ascii="Times New Roman" w:eastAsia="굴림" w:hAnsi="Times New Roman" w:cs="Times New Roman"/>
                <w:kern w:val="0"/>
                <w:sz w:val="16"/>
                <w:szCs w:val="16"/>
              </w:rPr>
              <w:t xml:space="preserve">omponents: </w:t>
            </w:r>
            <w:r>
              <w:rPr>
                <w:rFonts w:ascii="Times New Roman" w:eastAsia="굴림" w:hAnsi="Times New Roman" w:cs="Times New Roman" w:hint="eastAsia"/>
                <w:kern w:val="0"/>
                <w:sz w:val="16"/>
                <w:szCs w:val="16"/>
              </w:rPr>
              <w:t>BG MKT Share</w:t>
            </w:r>
            <w:r>
              <w:rPr>
                <w:rFonts w:ascii="Times New Roman" w:eastAsia="굴림" w:hAnsi="Times New Roman" w:cs="Times New Roman"/>
                <w:kern w:val="0"/>
                <w:sz w:val="16"/>
                <w:szCs w:val="16"/>
              </w:rPr>
              <w:t xml:space="preserve"> and </w:t>
            </w:r>
            <w:r w:rsidRPr="00AE58BE">
              <w:rPr>
                <w:rFonts w:ascii="Times New Roman" w:eastAsia="굴림" w:hAnsi="Times New Roman" w:cs="Times New Roman"/>
                <w:kern w:val="0"/>
                <w:sz w:val="16"/>
                <w:szCs w:val="16"/>
              </w:rPr>
              <w:t xml:space="preserve">ICM </w:t>
            </w:r>
            <w:r>
              <w:rPr>
                <w:rFonts w:ascii="Times New Roman" w:eastAsia="굴림" w:hAnsi="Times New Roman" w:cs="Times New Roman" w:hint="eastAsia"/>
                <w:kern w:val="0"/>
                <w:sz w:val="16"/>
                <w:szCs w:val="16"/>
              </w:rPr>
              <w:t>size</w:t>
            </w:r>
            <w:r w:rsidRPr="00AE58BE">
              <w:rPr>
                <w:rFonts w:ascii="Times New Roman" w:eastAsia="굴림" w:hAnsi="Times New Roman" w:cs="Times New Roman"/>
                <w:kern w:val="0"/>
                <w:sz w:val="16"/>
                <w:szCs w:val="16"/>
              </w:rPr>
              <w:t>, so that we can evaluate their effect</w:t>
            </w:r>
            <w:r>
              <w:rPr>
                <w:rFonts w:ascii="Times New Roman" w:eastAsia="굴림" w:hAnsi="Times New Roman" w:cs="Times New Roman"/>
                <w:kern w:val="0"/>
                <w:sz w:val="16"/>
                <w:szCs w:val="16"/>
              </w:rPr>
              <w:t>s</w:t>
            </w:r>
            <w:r w:rsidRPr="00AE58BE">
              <w:rPr>
                <w:rFonts w:ascii="Times New Roman" w:eastAsia="굴림" w:hAnsi="Times New Roman" w:cs="Times New Roman"/>
                <w:kern w:val="0"/>
                <w:sz w:val="16"/>
                <w:szCs w:val="16"/>
              </w:rPr>
              <w:t xml:space="preserve"> separately. The former is related to member firms’ market share within an industry and the latter is related to the size of internal capital market member firms possess in the same industry. We also control for variables that are </w:t>
            </w:r>
            <w:r>
              <w:rPr>
                <w:rFonts w:ascii="Times New Roman" w:eastAsia="굴림" w:hAnsi="Times New Roman" w:cs="Times New Roman"/>
                <w:kern w:val="0"/>
                <w:sz w:val="16"/>
                <w:szCs w:val="16"/>
              </w:rPr>
              <w:t>kn</w:t>
            </w:r>
            <w:r w:rsidRPr="00AE58BE">
              <w:rPr>
                <w:rFonts w:ascii="Times New Roman" w:eastAsia="굴림" w:hAnsi="Times New Roman" w:cs="Times New Roman"/>
                <w:kern w:val="0"/>
                <w:sz w:val="16"/>
                <w:szCs w:val="16"/>
              </w:rPr>
              <w:t>own to be determinants of firm’</w:t>
            </w:r>
            <w:r>
              <w:rPr>
                <w:rFonts w:ascii="Times New Roman" w:eastAsia="굴림" w:hAnsi="Times New Roman" w:cs="Times New Roman" w:hint="eastAsia"/>
                <w:kern w:val="0"/>
                <w:sz w:val="16"/>
                <w:szCs w:val="16"/>
              </w:rPr>
              <w:t>s financial distress</w:t>
            </w:r>
            <w:r>
              <w:rPr>
                <w:rFonts w:ascii="Times New Roman" w:eastAsia="굴림" w:hAnsi="Times New Roman" w:cs="Times New Roman"/>
                <w:kern w:val="0"/>
                <w:sz w:val="16"/>
                <w:szCs w:val="16"/>
              </w:rPr>
              <w:t xml:space="preserve"> risk by previous studies</w:t>
            </w:r>
            <w:r w:rsidRPr="00AE58BE">
              <w:rPr>
                <w:rFonts w:ascii="Times New Roman" w:eastAsia="굴림" w:hAnsi="Times New Roman" w:cs="Times New Roman"/>
                <w:kern w:val="0"/>
                <w:sz w:val="16"/>
                <w:szCs w:val="16"/>
              </w:rPr>
              <w:t xml:space="preserve">, including: the </w:t>
            </w:r>
            <w:proofErr w:type="spellStart"/>
            <w:r w:rsidRPr="00AE58BE">
              <w:rPr>
                <w:rFonts w:ascii="Times New Roman" w:eastAsia="굴림" w:hAnsi="Times New Roman" w:cs="Times New Roman"/>
                <w:kern w:val="0"/>
                <w:sz w:val="16"/>
                <w:szCs w:val="16"/>
              </w:rPr>
              <w:t>Herfindahl</w:t>
            </w:r>
            <w:proofErr w:type="spellEnd"/>
            <w:r w:rsidRPr="00AE58BE">
              <w:rPr>
                <w:rFonts w:ascii="Times New Roman" w:eastAsia="굴림" w:hAnsi="Times New Roman" w:cs="Times New Roman"/>
                <w:kern w:val="0"/>
                <w:sz w:val="16"/>
                <w:szCs w:val="16"/>
              </w:rPr>
              <w:t>-Hirschman index (HHI), size, leverage, profitability, R&amp;</w:t>
            </w:r>
            <w:r>
              <w:rPr>
                <w:rFonts w:ascii="Times New Roman" w:eastAsia="굴림" w:hAnsi="Times New Roman" w:cs="Times New Roman"/>
                <w:kern w:val="0"/>
                <w:sz w:val="16"/>
                <w:szCs w:val="16"/>
              </w:rPr>
              <w:t>D intensity and risk free rate.</w:t>
            </w:r>
            <w:r w:rsidRPr="00AE58BE">
              <w:rPr>
                <w:rFonts w:ascii="Times New Roman" w:eastAsia="굴림" w:hAnsi="Times New Roman" w:cs="Times New Roman"/>
                <w:kern w:val="0"/>
                <w:sz w:val="16"/>
                <w:szCs w:val="16"/>
              </w:rPr>
              <w:t xml:space="preserve"> </w:t>
            </w:r>
            <w:r>
              <w:rPr>
                <w:rFonts w:ascii="Times New Roman" w:eastAsia="굴림" w:hAnsi="Times New Roman" w:cs="Times New Roman"/>
                <w:kern w:val="0"/>
                <w:sz w:val="16"/>
                <w:szCs w:val="16"/>
              </w:rPr>
              <w:t xml:space="preserve">Regression results are reported in Panel A. Panel B </w:t>
            </w:r>
            <w:r w:rsidRPr="0099655C">
              <w:rPr>
                <w:rFonts w:ascii="Times New Roman" w:eastAsia="맑은 고딕" w:hAnsi="Times New Roman" w:cs="Times New Roman"/>
                <w:color w:val="000000"/>
                <w:kern w:val="0"/>
                <w:sz w:val="16"/>
                <w:szCs w:val="16"/>
              </w:rPr>
              <w:t xml:space="preserve">reports the results of Z tests that compare </w:t>
            </w:r>
            <w:r>
              <w:rPr>
                <w:rFonts w:ascii="Times New Roman" w:eastAsia="맑은 고딕" w:hAnsi="Times New Roman" w:cs="Times New Roman"/>
                <w:color w:val="000000"/>
                <w:kern w:val="0"/>
                <w:sz w:val="16"/>
                <w:szCs w:val="16"/>
              </w:rPr>
              <w:t>the influence of business group</w:t>
            </w:r>
            <w:r w:rsidRPr="0099655C">
              <w:rPr>
                <w:rFonts w:ascii="Times New Roman" w:eastAsia="맑은 고딕" w:hAnsi="Times New Roman" w:cs="Times New Roman"/>
                <w:color w:val="000000"/>
                <w:kern w:val="0"/>
                <w:sz w:val="16"/>
                <w:szCs w:val="16"/>
              </w:rPr>
              <w:t xml:space="preserve"> between</w:t>
            </w:r>
            <w:r>
              <w:rPr>
                <w:rFonts w:ascii="Times New Roman" w:eastAsia="맑은 고딕" w:hAnsi="Times New Roman" w:cs="Times New Roman"/>
                <w:color w:val="000000"/>
                <w:kern w:val="0"/>
                <w:sz w:val="16"/>
                <w:szCs w:val="16"/>
              </w:rPr>
              <w:t xml:space="preserve"> crisis and non-crisis period</w:t>
            </w:r>
            <w:r w:rsidRPr="0099655C">
              <w:rPr>
                <w:rFonts w:ascii="Times New Roman" w:eastAsia="맑은 고딕" w:hAnsi="Times New Roman" w:cs="Times New Roman"/>
                <w:color w:val="000000"/>
                <w:kern w:val="0"/>
                <w:sz w:val="16"/>
                <w:szCs w:val="16"/>
              </w:rPr>
              <w:t xml:space="preserve">. More specifically, for the coefficients of the same business group influence measure (BSDI and its two orthogonal components: BG MKT Share and ICM size) between </w:t>
            </w:r>
            <w:r>
              <w:rPr>
                <w:rFonts w:ascii="Times New Roman" w:eastAsia="맑은 고딕" w:hAnsi="Times New Roman" w:cs="Times New Roman"/>
                <w:color w:val="000000"/>
                <w:kern w:val="0"/>
                <w:sz w:val="16"/>
                <w:szCs w:val="16"/>
              </w:rPr>
              <w:t xml:space="preserve">the two subsamples, </w:t>
            </w:r>
            <w:r w:rsidRPr="0099655C">
              <w:rPr>
                <w:rFonts w:ascii="Times New Roman" w:eastAsia="맑은 고딕" w:hAnsi="Times New Roman" w:cs="Times New Roman"/>
                <w:color w:val="000000"/>
                <w:kern w:val="0"/>
                <w:sz w:val="16"/>
                <w:szCs w:val="16"/>
              </w:rPr>
              <w:t xml:space="preserve">we calculate their difference and test whether </w:t>
            </w:r>
            <w:r>
              <w:rPr>
                <w:rFonts w:ascii="Times New Roman" w:eastAsia="맑은 고딕" w:hAnsi="Times New Roman" w:cs="Times New Roman"/>
                <w:color w:val="000000"/>
                <w:kern w:val="0"/>
                <w:sz w:val="16"/>
                <w:szCs w:val="16"/>
              </w:rPr>
              <w:t>this difference</w:t>
            </w:r>
            <w:r w:rsidRPr="0099655C">
              <w:rPr>
                <w:rFonts w:ascii="Times New Roman" w:eastAsia="맑은 고딕" w:hAnsi="Times New Roman" w:cs="Times New Roman"/>
                <w:color w:val="000000"/>
                <w:kern w:val="0"/>
                <w:sz w:val="16"/>
                <w:szCs w:val="16"/>
              </w:rPr>
              <w:t xml:space="preserve"> is different from zero based on</w:t>
            </w:r>
            <w:r>
              <w:rPr>
                <w:rFonts w:ascii="Times New Roman" w:eastAsia="맑은 고딕" w:hAnsi="Times New Roman" w:cs="Times New Roman"/>
                <w:color w:val="000000"/>
                <w:kern w:val="0"/>
                <w:sz w:val="16"/>
                <w:szCs w:val="16"/>
              </w:rPr>
              <w:t xml:space="preserve"> the Z test developed by </w:t>
            </w:r>
            <w:proofErr w:type="spellStart"/>
            <w:r>
              <w:rPr>
                <w:rFonts w:ascii="Times New Roman" w:eastAsia="맑은 고딕" w:hAnsi="Times New Roman" w:cs="Times New Roman"/>
                <w:color w:val="000000"/>
                <w:kern w:val="0"/>
                <w:sz w:val="16"/>
                <w:szCs w:val="16"/>
              </w:rPr>
              <w:t>Clogg</w:t>
            </w:r>
            <w:proofErr w:type="spellEnd"/>
            <w:r>
              <w:rPr>
                <w:rFonts w:ascii="Times New Roman" w:eastAsia="맑은 고딕" w:hAnsi="Times New Roman" w:cs="Times New Roman"/>
                <w:color w:val="000000"/>
                <w:kern w:val="0"/>
                <w:sz w:val="16"/>
                <w:szCs w:val="16"/>
              </w:rPr>
              <w:t xml:space="preserve"> et al. </w:t>
            </w:r>
            <w:r w:rsidRPr="0099655C">
              <w:rPr>
                <w:rFonts w:ascii="Times New Roman" w:eastAsia="맑은 고딕" w:hAnsi="Times New Roman" w:cs="Times New Roman"/>
                <w:color w:val="000000"/>
                <w:kern w:val="0"/>
                <w:sz w:val="16"/>
                <w:szCs w:val="16"/>
              </w:rPr>
              <w:t>(1995).</w:t>
            </w:r>
            <w:r>
              <w:rPr>
                <w:rFonts w:ascii="Times New Roman" w:eastAsia="맑은 고딕" w:hAnsi="Times New Roman" w:cs="Times New Roman"/>
                <w:color w:val="000000"/>
                <w:kern w:val="0"/>
                <w:sz w:val="16"/>
                <w:szCs w:val="16"/>
              </w:rPr>
              <w:t xml:space="preserve"> </w:t>
            </w:r>
            <w:r w:rsidRPr="00AE58BE">
              <w:rPr>
                <w:rFonts w:ascii="Times New Roman" w:eastAsia="굴림" w:hAnsi="Times New Roman" w:cs="Times New Roman"/>
                <w:kern w:val="0"/>
                <w:sz w:val="16"/>
                <w:szCs w:val="16"/>
              </w:rPr>
              <w:t xml:space="preserve">For more detailed variable definition, please refer to Section </w:t>
            </w:r>
            <w:r w:rsidR="00886B05">
              <w:rPr>
                <w:rFonts w:ascii="Times New Roman" w:eastAsia="굴림" w:hAnsi="Times New Roman" w:cs="Times New Roman"/>
                <w:kern w:val="0"/>
                <w:sz w:val="16"/>
                <w:szCs w:val="16"/>
              </w:rPr>
              <w:fldChar w:fldCharType="begin"/>
            </w:r>
            <w:r w:rsidR="00D01EDF">
              <w:rPr>
                <w:rFonts w:ascii="Times New Roman" w:eastAsia="SimSun" w:hAnsi="Times New Roman" w:cs="Times New Roman"/>
                <w:kern w:val="0"/>
                <w:sz w:val="16"/>
                <w:szCs w:val="16"/>
                <w:lang w:eastAsia="zh-CN"/>
              </w:rPr>
              <w:instrText xml:space="preserve"> </w:instrText>
            </w:r>
            <w:r w:rsidR="00D01EDF">
              <w:rPr>
                <w:rFonts w:ascii="Times New Roman" w:eastAsia="SimSun" w:hAnsi="Times New Roman" w:cs="Times New Roman" w:hint="eastAsia"/>
                <w:kern w:val="0"/>
                <w:sz w:val="16"/>
                <w:szCs w:val="16"/>
                <w:lang w:eastAsia="zh-CN"/>
              </w:rPr>
              <w:instrText>= 3 \* ROMAN</w:instrText>
            </w:r>
            <w:r w:rsidR="00D01EDF">
              <w:rPr>
                <w:rFonts w:ascii="Times New Roman" w:eastAsia="SimSun" w:hAnsi="Times New Roman" w:cs="Times New Roman"/>
                <w:kern w:val="0"/>
                <w:sz w:val="16"/>
                <w:szCs w:val="16"/>
                <w:lang w:eastAsia="zh-CN"/>
              </w:rPr>
              <w:instrText xml:space="preserve"> </w:instrText>
            </w:r>
            <w:r w:rsidR="00886B05">
              <w:rPr>
                <w:rFonts w:ascii="Times New Roman" w:eastAsia="굴림" w:hAnsi="Times New Roman" w:cs="Times New Roman"/>
                <w:kern w:val="0"/>
                <w:sz w:val="16"/>
                <w:szCs w:val="16"/>
              </w:rPr>
              <w:fldChar w:fldCharType="separate"/>
            </w:r>
            <w:r w:rsidR="00D01EDF">
              <w:rPr>
                <w:rFonts w:ascii="Times New Roman" w:eastAsia="SimSun" w:hAnsi="Times New Roman" w:cs="Times New Roman"/>
                <w:noProof/>
                <w:kern w:val="0"/>
                <w:sz w:val="16"/>
                <w:szCs w:val="16"/>
                <w:lang w:eastAsia="zh-CN"/>
              </w:rPr>
              <w:t>III</w:t>
            </w:r>
            <w:r w:rsidR="00886B05">
              <w:rPr>
                <w:rFonts w:ascii="Times New Roman" w:eastAsia="굴림" w:hAnsi="Times New Roman" w:cs="Times New Roman"/>
                <w:kern w:val="0"/>
                <w:sz w:val="16"/>
                <w:szCs w:val="16"/>
              </w:rPr>
              <w:fldChar w:fldCharType="end"/>
            </w:r>
            <w:r>
              <w:rPr>
                <w:rFonts w:ascii="Times New Roman" w:eastAsia="굴림" w:hAnsi="Times New Roman" w:cs="Times New Roman"/>
                <w:kern w:val="0"/>
                <w:sz w:val="16"/>
                <w:szCs w:val="16"/>
              </w:rPr>
              <w:t>.</w:t>
            </w:r>
            <w:r w:rsidRPr="0099655C">
              <w:rPr>
                <w:rFonts w:ascii="Times New Roman" w:eastAsia="맑은 고딕" w:hAnsi="Times New Roman" w:cs="Times New Roman"/>
                <w:color w:val="000000"/>
                <w:kern w:val="0"/>
                <w:sz w:val="16"/>
                <w:szCs w:val="16"/>
              </w:rPr>
              <w:t xml:space="preserve"> </w:t>
            </w:r>
            <w:r w:rsidRPr="00AE58BE">
              <w:rPr>
                <w:rFonts w:ascii="Times New Roman" w:eastAsia="굴림" w:hAnsi="Times New Roman" w:cs="Times New Roman"/>
                <w:kern w:val="0"/>
                <w:sz w:val="16"/>
                <w:szCs w:val="16"/>
              </w:rPr>
              <w:t>Numbers in the parentheses are firm level clustered robust t statistic.</w:t>
            </w:r>
            <w:r>
              <w:rPr>
                <w:rFonts w:ascii="Times New Roman" w:eastAsia="굴림" w:hAnsi="Times New Roman" w:cs="Times New Roman"/>
                <w:kern w:val="0"/>
                <w:sz w:val="16"/>
                <w:szCs w:val="16"/>
              </w:rPr>
              <w:t xml:space="preserve"> </w:t>
            </w:r>
            <w:r>
              <w:rPr>
                <w:rFonts w:ascii="Times New Roman" w:eastAsia="맑은 고딕" w:hAnsi="Times New Roman" w:cs="Times New Roman"/>
                <w:color w:val="000000"/>
                <w:kern w:val="0"/>
                <w:sz w:val="16"/>
                <w:szCs w:val="16"/>
              </w:rPr>
              <w:t>N</w:t>
            </w:r>
            <w:r w:rsidRPr="0099655C">
              <w:rPr>
                <w:rFonts w:ascii="Times New Roman" w:eastAsia="맑은 고딕" w:hAnsi="Times New Roman" w:cs="Times New Roman"/>
                <w:color w:val="000000"/>
                <w:kern w:val="0"/>
                <w:sz w:val="16"/>
                <w:szCs w:val="16"/>
              </w:rPr>
              <w:t xml:space="preserve">umbers in the </w:t>
            </w:r>
            <w:r>
              <w:rPr>
                <w:rFonts w:ascii="Times New Roman" w:eastAsia="맑은 고딕" w:hAnsi="Times New Roman" w:cs="Times New Roman"/>
                <w:color w:val="000000"/>
                <w:kern w:val="0"/>
                <w:sz w:val="16"/>
                <w:szCs w:val="16"/>
              </w:rPr>
              <w:t>brackets</w:t>
            </w:r>
            <w:r w:rsidRPr="0099655C">
              <w:rPr>
                <w:rFonts w:ascii="Times New Roman" w:eastAsia="맑은 고딕" w:hAnsi="Times New Roman" w:cs="Times New Roman"/>
                <w:color w:val="000000"/>
                <w:kern w:val="0"/>
                <w:sz w:val="16"/>
                <w:szCs w:val="16"/>
              </w:rPr>
              <w:t xml:space="preserve"> are Z test statistics. </w:t>
            </w:r>
            <w:r w:rsidRPr="00AE58BE">
              <w:rPr>
                <w:rFonts w:ascii="Times New Roman" w:eastAsia="굴림" w:hAnsi="Times New Roman" w:cs="Times New Roman"/>
                <w:kern w:val="0"/>
                <w:sz w:val="16"/>
                <w:szCs w:val="16"/>
              </w:rPr>
              <w:t xml:space="preserve">*,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6"/>
                <w:szCs w:val="16"/>
              </w:rPr>
              <w:t>is</w:t>
            </w:r>
            <w:r w:rsidRPr="00AE58BE">
              <w:rPr>
                <w:rFonts w:ascii="Times New Roman" w:eastAsia="굴림" w:hAnsi="Times New Roman" w:cs="Times New Roman"/>
                <w:kern w:val="0"/>
                <w:sz w:val="16"/>
                <w:szCs w:val="16"/>
              </w:rPr>
              <w:t xml:space="preserve"> excluded from the sample.</w:t>
            </w:r>
          </w:p>
        </w:tc>
      </w:tr>
      <w:tr w:rsidR="00267B32" w:rsidRPr="00161760" w:rsidTr="00D01EDF">
        <w:trPr>
          <w:trHeight w:val="255"/>
        </w:trPr>
        <w:tc>
          <w:tcPr>
            <w:tcW w:w="426" w:type="pct"/>
            <w:tcBorders>
              <w:top w:val="single" w:sz="4" w:space="0" w:color="000000"/>
            </w:tcBorders>
            <w:noWrap/>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 xml:space="preserve">　</w:t>
            </w:r>
          </w:p>
        </w:tc>
        <w:tc>
          <w:tcPr>
            <w:tcW w:w="2288" w:type="pct"/>
            <w:gridSpan w:val="7"/>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Crisis Period (2007-2009)</w:t>
            </w:r>
          </w:p>
        </w:tc>
        <w:tc>
          <w:tcPr>
            <w:tcW w:w="2286" w:type="pct"/>
            <w:gridSpan w:val="7"/>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Non-crisis Period</w:t>
            </w:r>
          </w:p>
        </w:tc>
      </w:tr>
      <w:tr w:rsidR="00267B32" w:rsidRPr="00161760" w:rsidTr="00D01EDF">
        <w:trPr>
          <w:trHeight w:val="255"/>
        </w:trPr>
        <w:tc>
          <w:tcPr>
            <w:tcW w:w="426" w:type="pct"/>
            <w:noWrap/>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1144" w:type="pct"/>
            <w:gridSpan w:val="4"/>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KL-score</w:t>
            </w:r>
          </w:p>
        </w:tc>
        <w:tc>
          <w:tcPr>
            <w:tcW w:w="1144" w:type="pct"/>
            <w:gridSpan w:val="3"/>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KM-score</w:t>
            </w:r>
          </w:p>
        </w:tc>
        <w:tc>
          <w:tcPr>
            <w:tcW w:w="1144" w:type="pct"/>
            <w:gridSpan w:val="4"/>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KL-score</w:t>
            </w:r>
          </w:p>
        </w:tc>
        <w:tc>
          <w:tcPr>
            <w:tcW w:w="1142" w:type="pct"/>
            <w:gridSpan w:val="3"/>
            <w:noWrap/>
            <w:hideMark/>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KM-score</w:t>
            </w:r>
          </w:p>
        </w:tc>
      </w:tr>
      <w:tr w:rsidR="00267B32" w:rsidRPr="00161760" w:rsidTr="00D01EDF">
        <w:trPr>
          <w:trHeight w:val="255"/>
        </w:trPr>
        <w:tc>
          <w:tcPr>
            <w:tcW w:w="426" w:type="pct"/>
            <w:tcBorders>
              <w:bottom w:val="single" w:sz="4" w:space="0" w:color="000000"/>
            </w:tcBorders>
            <w:noWrap/>
          </w:tcPr>
          <w:p w:rsidR="00267B32" w:rsidRPr="00161760" w:rsidRDefault="00267B32" w:rsidP="00267B32">
            <w:pPr>
              <w:widowControl/>
              <w:wordWrap/>
              <w:autoSpaceDE/>
              <w:autoSpaceDN/>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VARIABLES</w:t>
            </w:r>
          </w:p>
        </w:tc>
        <w:tc>
          <w:tcPr>
            <w:tcW w:w="571"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(1)</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(2)</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(3)</w:t>
            </w:r>
          </w:p>
        </w:tc>
        <w:tc>
          <w:tcPr>
            <w:tcW w:w="572" w:type="pct"/>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(4)</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(5)</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(6)</w:t>
            </w:r>
          </w:p>
        </w:tc>
        <w:tc>
          <w:tcPr>
            <w:tcW w:w="572" w:type="pct"/>
            <w:gridSpan w:val="2"/>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(7)</w:t>
            </w:r>
          </w:p>
        </w:tc>
        <w:tc>
          <w:tcPr>
            <w:tcW w:w="570" w:type="pct"/>
            <w:tcBorders>
              <w:bottom w:val="single" w:sz="4" w:space="0" w:color="000000"/>
            </w:tcBorders>
            <w:noWrap/>
          </w:tcPr>
          <w:p w:rsidR="00267B32" w:rsidRPr="004D53E2" w:rsidRDefault="00267B32" w:rsidP="00267B32">
            <w:pPr>
              <w:widowControl/>
              <w:wordWrap/>
              <w:autoSpaceDE/>
              <w:autoSpaceDN/>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(8)</w:t>
            </w:r>
          </w:p>
        </w:tc>
      </w:tr>
      <w:tr w:rsidR="00267B32" w:rsidRPr="00161760" w:rsidTr="00267B32">
        <w:trPr>
          <w:trHeight w:val="255"/>
        </w:trPr>
        <w:tc>
          <w:tcPr>
            <w:tcW w:w="5000" w:type="pct"/>
            <w:gridSpan w:val="15"/>
            <w:tcBorders>
              <w:top w:val="single" w:sz="4" w:space="0" w:color="000000"/>
              <w:bottom w:val="single" w:sz="4" w:space="0" w:color="000000"/>
            </w:tcBorders>
            <w:noWrap/>
          </w:tcPr>
          <w:p w:rsidR="00267B32" w:rsidRPr="00E41C98"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Panel A: Regression Results</w:t>
            </w:r>
          </w:p>
        </w:tc>
      </w:tr>
      <w:tr w:rsidR="00267B32" w:rsidRPr="00161760" w:rsidTr="00D01EDF">
        <w:trPr>
          <w:trHeight w:val="255"/>
        </w:trPr>
        <w:tc>
          <w:tcPr>
            <w:tcW w:w="426" w:type="pct"/>
            <w:vMerge w:val="restart"/>
            <w:tcBorders>
              <w:top w:val="single" w:sz="4" w:space="0" w:color="000000"/>
            </w:tcBorders>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BSDI</w:t>
            </w:r>
          </w:p>
        </w:tc>
        <w:tc>
          <w:tcPr>
            <w:tcW w:w="571"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2.0722***</w:t>
            </w: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2.9723***</w:t>
            </w:r>
          </w:p>
        </w:tc>
        <w:tc>
          <w:tcPr>
            <w:tcW w:w="572" w:type="pct"/>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0.8290***</w:t>
            </w: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1.1342***</w:t>
            </w:r>
          </w:p>
        </w:tc>
        <w:tc>
          <w:tcPr>
            <w:tcW w:w="570" w:type="pct"/>
            <w:tcBorders>
              <w:top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(4.78)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(4.80)</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(6.15)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(6.01)</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r>
      <w:tr w:rsidR="00D01EDF" w:rsidRPr="00161760"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BG MKT Share</w:t>
            </w:r>
          </w:p>
        </w:tc>
        <w:tc>
          <w:tcPr>
            <w:tcW w:w="571"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2.3712***</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3.3735***</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0.8886***</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1.2181***</w:t>
            </w:r>
          </w:p>
        </w:tc>
      </w:tr>
      <w:tr w:rsidR="00D01EDF" w:rsidRPr="00161760" w:rsidTr="00D01EDF">
        <w:trPr>
          <w:trHeight w:val="255"/>
        </w:trPr>
        <w:tc>
          <w:tcPr>
            <w:tcW w:w="426" w:type="pct"/>
            <w:vMerge/>
            <w:noWrap/>
            <w:vAlign w:val="center"/>
            <w:hideMark/>
          </w:tcPr>
          <w:p w:rsidR="00D01EDF" w:rsidRPr="00161760" w:rsidRDefault="00D01EDF" w:rsidP="00D01EDF">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(4.68)</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(4.63)</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(3.86)</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(3.79)</w:t>
            </w:r>
          </w:p>
        </w:tc>
      </w:tr>
      <w:tr w:rsidR="00D01EDF" w:rsidRPr="00161760" w:rsidTr="00D01EDF">
        <w:trPr>
          <w:trHeight w:val="255"/>
        </w:trPr>
        <w:tc>
          <w:tcPr>
            <w:tcW w:w="426" w:type="pct"/>
            <w:vMerge w:val="restart"/>
            <w:noWrap/>
            <w:vAlign w:val="center"/>
            <w:hideMark/>
          </w:tcPr>
          <w:p w:rsidR="00D01EDF" w:rsidRPr="004D53E2" w:rsidRDefault="00D01EDF" w:rsidP="00D01EDF">
            <w:pPr>
              <w:widowControl/>
              <w:wordWrap/>
              <w:autoSpaceDE/>
              <w:autoSpaceDN/>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ICM Size</w:t>
            </w:r>
          </w:p>
        </w:tc>
        <w:tc>
          <w:tcPr>
            <w:tcW w:w="571"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1.9086***</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2.7528***</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0.7959***</w:t>
            </w:r>
          </w:p>
        </w:tc>
        <w:tc>
          <w:tcPr>
            <w:tcW w:w="572" w:type="pct"/>
            <w:gridSpan w:val="2"/>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p>
        </w:tc>
        <w:tc>
          <w:tcPr>
            <w:tcW w:w="570" w:type="pct"/>
            <w:noWrap/>
            <w:vAlign w:val="center"/>
            <w:hideMark/>
          </w:tcPr>
          <w:p w:rsidR="00D01EDF" w:rsidRPr="00682CF1" w:rsidRDefault="00D01EDF"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1.0877***</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(4.09)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(4.93)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(4.77)</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HHI</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-1.0125***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-1.0253***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-1.1853***</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-1.2024***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-0.0430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-0.0559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-0.0790</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-0.0972</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(-3.71)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(-3.76)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(-2.97)</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(-3.02)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(-0.38)</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(-0.46)</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Size</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-0.9145***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-0.9143***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-0.6793***</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-0.6791***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-0.7810***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-0.7810***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-0.5892***</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-0.5891***</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(-48.11)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(-48.09)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(-24.13)</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(-24.13)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(-68.84)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(-68.86)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(-35.46)</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(-35.46)</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Leverage Ratio</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0.0006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0.0006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0.0002</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0.0002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0.0036***</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0.0036***</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(0.84)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(0.25)</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(7.68)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(7.69)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(6.79)</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(6.80)</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Profitability</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-0.1579***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-0.1580***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0.0431</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0.0429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-0.3004***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-0.3004***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-0.0758***</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-0.0758***</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(-7.17)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(-7.18)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(1.31)</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(-18.49)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(-18.49)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(-3.15)</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(-3.16)</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R&amp;D Intensity</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0.1015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0.1043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1.1495</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1.1534</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-0.9049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-0.9070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0.0481</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0.0451</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(0.72)</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(-1.32)</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(0.05)</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Risk Free Rate</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-0.0145***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-0.0139**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-0.0070</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-0.0061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-0.0430***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-0.0427***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0.0219*</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0.0225**</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(-2.69)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(-2.58)</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(-0.90)</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(-0.79)</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(-5.47)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(-5.37)</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(1.96)</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(1.99)</w:t>
            </w:r>
          </w:p>
        </w:tc>
      </w:tr>
      <w:tr w:rsidR="00267B32" w:rsidRPr="00161760" w:rsidTr="00D01EDF">
        <w:trPr>
          <w:trHeight w:val="255"/>
        </w:trPr>
        <w:tc>
          <w:tcPr>
            <w:tcW w:w="426" w:type="pct"/>
            <w:vMerge w:val="restar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Constant</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10.4885***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10.4520***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9.5283***</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9.4793***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9.2060***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9.1996***</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8.4574***</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8.4482***</w:t>
            </w:r>
          </w:p>
        </w:tc>
      </w:tr>
      <w:tr w:rsidR="00267B32" w:rsidRPr="00161760" w:rsidTr="00D01EDF">
        <w:trPr>
          <w:trHeight w:val="255"/>
        </w:trPr>
        <w:tc>
          <w:tcPr>
            <w:tcW w:w="426" w:type="pct"/>
            <w:vMerge/>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(54.40)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(53.61)</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(33.29)</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(32.90)</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(74.03)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(73.43)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(46.12)</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(45.71)</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lastRenderedPageBreak/>
              <w:t>Year Effects</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Firm Effects</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Yes</w:t>
            </w:r>
          </w:p>
        </w:tc>
      </w:tr>
      <w:tr w:rsidR="00267B32" w:rsidRPr="00161760" w:rsidTr="00D01EDF">
        <w:trPr>
          <w:trHeight w:val="255"/>
        </w:trPr>
        <w:tc>
          <w:tcPr>
            <w:tcW w:w="426" w:type="pct"/>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Observations</w:t>
            </w:r>
          </w:p>
        </w:tc>
        <w:tc>
          <w:tcPr>
            <w:tcW w:w="571"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46,893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46,893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46,893</w:t>
            </w:r>
          </w:p>
        </w:tc>
        <w:tc>
          <w:tcPr>
            <w:tcW w:w="572"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46,893</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148,205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148,205</w:t>
            </w:r>
          </w:p>
        </w:tc>
        <w:tc>
          <w:tcPr>
            <w:tcW w:w="572" w:type="pct"/>
            <w:gridSpan w:val="2"/>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148,205</w:t>
            </w:r>
          </w:p>
        </w:tc>
        <w:tc>
          <w:tcPr>
            <w:tcW w:w="570" w:type="pct"/>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148,205</w:t>
            </w:r>
          </w:p>
        </w:tc>
      </w:tr>
      <w:tr w:rsidR="00267B32" w:rsidRPr="00161760" w:rsidTr="00D01EDF">
        <w:trPr>
          <w:trHeight w:val="255"/>
        </w:trPr>
        <w:tc>
          <w:tcPr>
            <w:tcW w:w="426" w:type="pct"/>
            <w:tcBorders>
              <w:bottom w:val="single" w:sz="4" w:space="0" w:color="000000"/>
            </w:tcBorders>
            <w:noWrap/>
            <w:vAlign w:val="center"/>
            <w:hideMark/>
          </w:tcPr>
          <w:p w:rsidR="00267B32" w:rsidRPr="00161760" w:rsidRDefault="00267B32" w:rsidP="00267B32">
            <w:pPr>
              <w:widowControl/>
              <w:wordWrap/>
              <w:autoSpaceDE/>
              <w:autoSpaceDN/>
              <w:jc w:val="left"/>
              <w:rPr>
                <w:rFonts w:ascii="Times New Roman" w:eastAsia="굴림" w:hAnsi="Times New Roman" w:cs="Times New Roman"/>
                <w:kern w:val="0"/>
                <w:sz w:val="16"/>
                <w:szCs w:val="16"/>
              </w:rPr>
            </w:pPr>
            <w:r w:rsidRPr="00161760">
              <w:rPr>
                <w:rFonts w:ascii="Times New Roman" w:eastAsia="굴림" w:hAnsi="Times New Roman" w:cs="Times New Roman"/>
                <w:kern w:val="0"/>
                <w:sz w:val="16"/>
                <w:szCs w:val="16"/>
              </w:rPr>
              <w:t>Within R</w:t>
            </w:r>
            <w:r>
              <w:rPr>
                <w:rFonts w:ascii="Times New Roman" w:eastAsia="굴림" w:hAnsi="Times New Roman" w:cs="Times New Roman"/>
                <w:kern w:val="0"/>
                <w:sz w:val="16"/>
                <w:szCs w:val="16"/>
              </w:rPr>
              <w:t>^2</w:t>
            </w:r>
          </w:p>
        </w:tc>
        <w:tc>
          <w:tcPr>
            <w:tcW w:w="571"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0.3105</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0.3105</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0.0882</w:t>
            </w:r>
          </w:p>
        </w:tc>
        <w:tc>
          <w:tcPr>
            <w:tcW w:w="572" w:type="pct"/>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0.0882</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0.2709</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0.2709</w:t>
            </w:r>
          </w:p>
        </w:tc>
        <w:tc>
          <w:tcPr>
            <w:tcW w:w="572" w:type="pct"/>
            <w:gridSpan w:val="2"/>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0.0853</w:t>
            </w:r>
          </w:p>
        </w:tc>
        <w:tc>
          <w:tcPr>
            <w:tcW w:w="570" w:type="pct"/>
            <w:tcBorders>
              <w:bottom w:val="single" w:sz="4" w:space="0" w:color="000000"/>
            </w:tcBorders>
            <w:noWrap/>
            <w:vAlign w:val="center"/>
            <w:hideMark/>
          </w:tcPr>
          <w:p w:rsidR="00267B32" w:rsidRPr="00682CF1" w:rsidRDefault="00267B32" w:rsidP="00267B32">
            <w:pPr>
              <w:widowControl/>
              <w:wordWrap/>
              <w:autoSpaceDE/>
              <w:autoSpaceDN/>
              <w:jc w:val="center"/>
              <w:rPr>
                <w:rFonts w:ascii="Times New Roman" w:eastAsia="굴림" w:hAnsi="Times New Roman" w:cs="Times New Roman"/>
                <w:kern w:val="0"/>
                <w:sz w:val="16"/>
                <w:szCs w:val="16"/>
              </w:rPr>
            </w:pPr>
            <w:r w:rsidRPr="00682CF1">
              <w:rPr>
                <w:rFonts w:ascii="Times New Roman" w:eastAsia="굴림" w:hAnsi="Times New Roman" w:cs="Times New Roman"/>
                <w:kern w:val="0"/>
                <w:sz w:val="16"/>
                <w:szCs w:val="16"/>
              </w:rPr>
              <w:t>0.0854</w:t>
            </w:r>
          </w:p>
        </w:tc>
      </w:tr>
      <w:tr w:rsidR="00267B32" w:rsidRPr="00161760" w:rsidTr="00267B32">
        <w:trPr>
          <w:trHeight w:val="255"/>
        </w:trPr>
        <w:tc>
          <w:tcPr>
            <w:tcW w:w="5000" w:type="pct"/>
            <w:gridSpan w:val="15"/>
            <w:tcBorders>
              <w:top w:val="single" w:sz="4" w:space="0" w:color="000000"/>
              <w:bottom w:val="single" w:sz="4" w:space="0" w:color="000000"/>
            </w:tcBorders>
            <w:noWrap/>
          </w:tcPr>
          <w:p w:rsidR="00267B32" w:rsidRPr="00E41C98" w:rsidRDefault="00267B32" w:rsidP="00267B32">
            <w:pPr>
              <w:widowControl/>
              <w:wordWrap/>
              <w:autoSpaceDE/>
              <w:autoSpaceDN/>
              <w:jc w:val="left"/>
              <w:rPr>
                <w:rFonts w:ascii="Times New Roman" w:eastAsia="굴림" w:hAnsi="Times New Roman" w:cs="Times New Roman"/>
                <w:kern w:val="0"/>
                <w:sz w:val="16"/>
                <w:szCs w:val="16"/>
              </w:rPr>
            </w:pPr>
            <w:r>
              <w:rPr>
                <w:rFonts w:ascii="Times New Roman" w:eastAsia="굴림" w:hAnsi="Times New Roman" w:cs="Times New Roman"/>
                <w:kern w:val="0"/>
                <w:sz w:val="16"/>
                <w:szCs w:val="16"/>
              </w:rPr>
              <w:t xml:space="preserve">Panel B: </w:t>
            </w:r>
            <w:r w:rsidRPr="00486025">
              <w:rPr>
                <w:rFonts w:ascii="Times New Roman" w:eastAsia="맑은 고딕" w:hAnsi="Times New Roman" w:cs="Times New Roman"/>
                <w:color w:val="000000"/>
                <w:kern w:val="0"/>
                <w:sz w:val="16"/>
                <w:szCs w:val="16"/>
              </w:rPr>
              <w:t>Comparison of Business Group’s Influence between</w:t>
            </w:r>
            <w:r>
              <w:rPr>
                <w:rFonts w:ascii="Times New Roman" w:eastAsia="맑은 고딕" w:hAnsi="Times New Roman" w:cs="Times New Roman"/>
                <w:color w:val="000000"/>
                <w:kern w:val="0"/>
                <w:sz w:val="16"/>
                <w:szCs w:val="16"/>
              </w:rPr>
              <w:t xml:space="preserve"> Crisis and Non-crisis Period</w:t>
            </w:r>
          </w:p>
        </w:tc>
      </w:tr>
      <w:tr w:rsidR="00267B32" w:rsidRPr="00161760" w:rsidTr="00D01EDF">
        <w:trPr>
          <w:trHeight w:val="255"/>
        </w:trPr>
        <w:tc>
          <w:tcPr>
            <w:tcW w:w="555" w:type="pct"/>
            <w:gridSpan w:val="2"/>
            <w:tcBorders>
              <w:top w:val="single" w:sz="4" w:space="0" w:color="000000"/>
            </w:tcBorders>
            <w:noWrap/>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p>
        </w:tc>
        <w:tc>
          <w:tcPr>
            <w:tcW w:w="1482" w:type="pct"/>
            <w:gridSpan w:val="4"/>
            <w:tcBorders>
              <w:top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BSDI</w:t>
            </w:r>
          </w:p>
        </w:tc>
        <w:tc>
          <w:tcPr>
            <w:tcW w:w="1482" w:type="pct"/>
            <w:gridSpan w:val="5"/>
            <w:tcBorders>
              <w:top w:val="single" w:sz="4" w:space="0" w:color="000000"/>
            </w:tcBorders>
            <w:noWrap/>
          </w:tcPr>
          <w:p w:rsidR="00267B32" w:rsidRPr="0099655C" w:rsidRDefault="00D01EDF"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BG MKT Share</w:t>
            </w:r>
          </w:p>
        </w:tc>
        <w:tc>
          <w:tcPr>
            <w:tcW w:w="1481" w:type="pct"/>
            <w:gridSpan w:val="4"/>
            <w:tcBorders>
              <w:top w:val="single" w:sz="4" w:space="0" w:color="000000"/>
            </w:tcBorders>
            <w:noWrap/>
          </w:tcPr>
          <w:p w:rsidR="00267B32" w:rsidRPr="0099655C" w:rsidRDefault="00267B32" w:rsidP="00D01EDF">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 xml:space="preserve">ICM </w:t>
            </w:r>
            <w:r w:rsidR="00D01EDF">
              <w:rPr>
                <w:rFonts w:ascii="Times New Roman" w:eastAsia="맑은 고딕" w:hAnsi="Times New Roman" w:cs="Times New Roman"/>
                <w:color w:val="000000"/>
                <w:kern w:val="0"/>
                <w:sz w:val="16"/>
                <w:szCs w:val="16"/>
              </w:rPr>
              <w:t>Size</w:t>
            </w:r>
          </w:p>
        </w:tc>
      </w:tr>
      <w:tr w:rsidR="00267B32" w:rsidRPr="00161760" w:rsidTr="00D01EDF">
        <w:trPr>
          <w:trHeight w:val="255"/>
        </w:trPr>
        <w:tc>
          <w:tcPr>
            <w:tcW w:w="555" w:type="pct"/>
            <w:gridSpan w:val="2"/>
            <w:tcBorders>
              <w:bottom w:val="single" w:sz="4" w:space="0" w:color="000000"/>
            </w:tcBorders>
            <w:noWrap/>
          </w:tcPr>
          <w:p w:rsidR="00267B32" w:rsidRPr="00161760" w:rsidRDefault="00267B32" w:rsidP="00267B32">
            <w:pPr>
              <w:widowControl/>
              <w:wordWrap/>
              <w:autoSpaceDE/>
              <w:autoSpaceDN/>
              <w:jc w:val="center"/>
              <w:rPr>
                <w:rFonts w:ascii="Times New Roman" w:eastAsia="굴림" w:hAnsi="Times New Roman" w:cs="Times New Roman"/>
                <w:kern w:val="0"/>
                <w:sz w:val="16"/>
                <w:szCs w:val="16"/>
              </w:rPr>
            </w:pP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(1)</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5</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3</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7</w:t>
            </w:r>
            <w:r>
              <w:rPr>
                <w:rFonts w:ascii="Times New Roman" w:eastAsia="맑은 고딕" w:hAnsi="Times New Roman" w:cs="Times New Roman"/>
                <w:color w:val="000000"/>
                <w:kern w:val="0"/>
                <w:sz w:val="16"/>
                <w:szCs w:val="16"/>
              </w:rPr>
              <w:t>)</w:t>
            </w:r>
          </w:p>
        </w:tc>
        <w:tc>
          <w:tcPr>
            <w:tcW w:w="741" w:type="pct"/>
            <w:gridSpan w:val="3"/>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6</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4</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8</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6</w:t>
            </w:r>
            <w:r>
              <w:rPr>
                <w:rFonts w:ascii="Times New Roman" w:eastAsia="맑은 고딕" w:hAnsi="Times New Roman" w:cs="Times New Roman"/>
                <w:color w:val="000000"/>
                <w:kern w:val="0"/>
                <w:sz w:val="16"/>
                <w:szCs w:val="16"/>
              </w:rPr>
              <w:t>)</w:t>
            </w:r>
          </w:p>
        </w:tc>
        <w:tc>
          <w:tcPr>
            <w:tcW w:w="740" w:type="pct"/>
            <w:gridSpan w:val="2"/>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4</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 xml:space="preserve"> - </w:t>
            </w: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8</w:t>
            </w:r>
            <w:r>
              <w:rPr>
                <w:rFonts w:ascii="Times New Roman" w:eastAsia="맑은 고딕" w:hAnsi="Times New Roman" w:cs="Times New Roman"/>
                <w:color w:val="000000"/>
                <w:kern w:val="0"/>
                <w:sz w:val="16"/>
                <w:szCs w:val="16"/>
              </w:rPr>
              <w:t>)</w:t>
            </w:r>
          </w:p>
        </w:tc>
      </w:tr>
      <w:tr w:rsidR="00267B32" w:rsidRPr="00161760" w:rsidTr="00D01EDF">
        <w:trPr>
          <w:trHeight w:val="287"/>
        </w:trPr>
        <w:tc>
          <w:tcPr>
            <w:tcW w:w="555" w:type="pct"/>
            <w:gridSpan w:val="2"/>
            <w:vMerge w:val="restart"/>
            <w:tcBorders>
              <w:top w:val="single" w:sz="4" w:space="0" w:color="000000"/>
            </w:tcBorders>
            <w:noWrap/>
            <w:vAlign w:val="center"/>
          </w:tcPr>
          <w:p w:rsidR="00267B32" w:rsidRPr="0099655C" w:rsidRDefault="00267B32" w:rsidP="00267B32">
            <w:pPr>
              <w:widowControl/>
              <w:wordWrap/>
              <w:autoSpaceDE/>
              <w:autoSpaceDN/>
              <w:jc w:val="left"/>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 xml:space="preserve">Difference in </w:t>
            </w:r>
            <w:proofErr w:type="spellStart"/>
            <w:r>
              <w:rPr>
                <w:rFonts w:ascii="Times New Roman" w:eastAsia="맑은 고딕" w:hAnsi="Times New Roman" w:cs="Times New Roman"/>
                <w:color w:val="000000"/>
                <w:kern w:val="0"/>
                <w:sz w:val="16"/>
                <w:szCs w:val="16"/>
              </w:rPr>
              <w:t>Coeff</w:t>
            </w:r>
            <w:proofErr w:type="spellEnd"/>
            <w:r>
              <w:rPr>
                <w:rFonts w:ascii="Times New Roman" w:eastAsia="맑은 고딕" w:hAnsi="Times New Roman" w:cs="Times New Roman"/>
                <w:color w:val="000000"/>
                <w:kern w:val="0"/>
                <w:sz w:val="16"/>
                <w:szCs w:val="16"/>
              </w:rPr>
              <w:t>.</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1.2432***</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1.8381***</w:t>
            </w:r>
          </w:p>
        </w:tc>
        <w:tc>
          <w:tcPr>
            <w:tcW w:w="741" w:type="pct"/>
            <w:gridSpan w:val="3"/>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1.4826***</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2.1554***</w:t>
            </w:r>
          </w:p>
        </w:tc>
        <w:tc>
          <w:tcPr>
            <w:tcW w:w="741"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1.1127**</w:t>
            </w:r>
          </w:p>
        </w:tc>
        <w:tc>
          <w:tcPr>
            <w:tcW w:w="740" w:type="pct"/>
            <w:gridSpan w:val="2"/>
            <w:tcBorders>
              <w:top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sidRPr="0099655C">
              <w:rPr>
                <w:rFonts w:ascii="Times New Roman" w:eastAsia="맑은 고딕" w:hAnsi="Times New Roman" w:cs="Times New Roman"/>
                <w:color w:val="000000"/>
                <w:kern w:val="0"/>
                <w:sz w:val="16"/>
                <w:szCs w:val="16"/>
              </w:rPr>
              <w:t>1.6651**</w:t>
            </w:r>
          </w:p>
        </w:tc>
      </w:tr>
      <w:tr w:rsidR="00267B32" w:rsidRPr="00161760" w:rsidTr="00D01EDF">
        <w:trPr>
          <w:trHeight w:val="255"/>
        </w:trPr>
        <w:tc>
          <w:tcPr>
            <w:tcW w:w="555" w:type="pct"/>
            <w:gridSpan w:val="2"/>
            <w:vMerge/>
            <w:tcBorders>
              <w:bottom w:val="single" w:sz="4" w:space="0" w:color="000000"/>
            </w:tcBorders>
            <w:noWrap/>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2.74</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2.84</w:t>
            </w:r>
            <w:r>
              <w:rPr>
                <w:rFonts w:ascii="Times New Roman" w:eastAsia="맑은 고딕" w:hAnsi="Times New Roman" w:cs="Times New Roman"/>
                <w:color w:val="000000"/>
                <w:kern w:val="0"/>
                <w:sz w:val="16"/>
                <w:szCs w:val="16"/>
              </w:rPr>
              <w:t>]</w:t>
            </w:r>
          </w:p>
        </w:tc>
        <w:tc>
          <w:tcPr>
            <w:tcW w:w="741" w:type="pct"/>
            <w:gridSpan w:val="3"/>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2.66</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2.71</w:t>
            </w:r>
            <w:r>
              <w:rPr>
                <w:rFonts w:ascii="Times New Roman" w:eastAsia="맑은 고딕" w:hAnsi="Times New Roman" w:cs="Times New Roman"/>
                <w:color w:val="000000"/>
                <w:kern w:val="0"/>
                <w:sz w:val="16"/>
                <w:szCs w:val="16"/>
              </w:rPr>
              <w:t>]</w:t>
            </w:r>
          </w:p>
        </w:tc>
        <w:tc>
          <w:tcPr>
            <w:tcW w:w="741"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2.23</w:t>
            </w:r>
            <w:r>
              <w:rPr>
                <w:rFonts w:ascii="Times New Roman" w:eastAsia="맑은 고딕" w:hAnsi="Times New Roman" w:cs="Times New Roman"/>
                <w:color w:val="000000"/>
                <w:kern w:val="0"/>
                <w:sz w:val="16"/>
                <w:szCs w:val="16"/>
              </w:rPr>
              <w:t>]</w:t>
            </w:r>
          </w:p>
        </w:tc>
        <w:tc>
          <w:tcPr>
            <w:tcW w:w="740" w:type="pct"/>
            <w:gridSpan w:val="2"/>
            <w:tcBorders>
              <w:bottom w:val="single" w:sz="4" w:space="0" w:color="000000"/>
            </w:tcBorders>
            <w:noWrap/>
            <w:vAlign w:val="center"/>
          </w:tcPr>
          <w:p w:rsidR="00267B32" w:rsidRPr="0099655C" w:rsidRDefault="00267B32" w:rsidP="00267B32">
            <w:pPr>
              <w:widowControl/>
              <w:wordWrap/>
              <w:autoSpaceDE/>
              <w:autoSpaceDN/>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Pr="0099655C">
              <w:rPr>
                <w:rFonts w:ascii="Times New Roman" w:eastAsia="맑은 고딕" w:hAnsi="Times New Roman" w:cs="Times New Roman"/>
                <w:color w:val="000000"/>
                <w:kern w:val="0"/>
                <w:sz w:val="16"/>
                <w:szCs w:val="16"/>
              </w:rPr>
              <w:t>2.34</w:t>
            </w:r>
            <w:r>
              <w:rPr>
                <w:rFonts w:ascii="Times New Roman" w:eastAsia="맑은 고딕" w:hAnsi="Times New Roman" w:cs="Times New Roman"/>
                <w:color w:val="000000"/>
                <w:kern w:val="0"/>
                <w:sz w:val="16"/>
                <w:szCs w:val="16"/>
              </w:rPr>
              <w:t>]</w:t>
            </w:r>
          </w:p>
        </w:tc>
      </w:tr>
    </w:tbl>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sectPr w:rsidR="00267B32" w:rsidSect="00267B32">
          <w:pgSz w:w="16838" w:h="11906" w:orient="landscape"/>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2436"/>
        <w:gridCol w:w="1697"/>
        <w:gridCol w:w="1699"/>
        <w:gridCol w:w="1693"/>
        <w:gridCol w:w="1699"/>
      </w:tblGrid>
      <w:tr w:rsidR="00267B32" w:rsidRPr="00267B32" w:rsidTr="00267B32">
        <w:trPr>
          <w:trHeight w:val="255"/>
        </w:trPr>
        <w:tc>
          <w:tcPr>
            <w:tcW w:w="5000" w:type="pct"/>
            <w:gridSpan w:val="5"/>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b/>
                <w:kern w:val="0"/>
                <w:sz w:val="18"/>
                <w:szCs w:val="18"/>
              </w:rPr>
            </w:pPr>
            <w:r w:rsidRPr="00267B32">
              <w:rPr>
                <w:rFonts w:ascii="Times New Roman" w:eastAsia="굴림" w:hAnsi="Times New Roman" w:cs="Times New Roman"/>
                <w:b/>
                <w:kern w:val="0"/>
                <w:sz w:val="18"/>
                <w:szCs w:val="18"/>
              </w:rPr>
              <w:lastRenderedPageBreak/>
              <w:t xml:space="preserve">Table </w:t>
            </w:r>
            <w:r>
              <w:rPr>
                <w:rFonts w:ascii="Times New Roman" w:eastAsia="굴림" w:hAnsi="Times New Roman" w:cs="Times New Roman"/>
                <w:b/>
                <w:kern w:val="0"/>
                <w:sz w:val="18"/>
                <w:szCs w:val="18"/>
              </w:rPr>
              <w:t>8</w:t>
            </w:r>
            <w:r w:rsidRPr="00267B32">
              <w:rPr>
                <w:rFonts w:ascii="Times New Roman" w:eastAsia="굴림" w:hAnsi="Times New Roman" w:cs="Times New Roman"/>
                <w:b/>
                <w:kern w:val="0"/>
                <w:sz w:val="18"/>
                <w:szCs w:val="18"/>
              </w:rPr>
              <w:t>. Business G</w:t>
            </w:r>
            <w:r w:rsidR="00D01EDF">
              <w:rPr>
                <w:rFonts w:ascii="Times New Roman" w:eastAsia="굴림" w:hAnsi="Times New Roman" w:cs="Times New Roman"/>
                <w:b/>
                <w:kern w:val="0"/>
                <w:sz w:val="18"/>
                <w:szCs w:val="18"/>
              </w:rPr>
              <w:t>roup’s Influence on Non-member F</w:t>
            </w:r>
            <w:r w:rsidRPr="00267B32">
              <w:rPr>
                <w:rFonts w:ascii="Times New Roman" w:eastAsia="굴림" w:hAnsi="Times New Roman" w:cs="Times New Roman"/>
                <w:b/>
                <w:kern w:val="0"/>
                <w:sz w:val="18"/>
                <w:szCs w:val="18"/>
              </w:rPr>
              <w:t>irms’ Financial Distress Risk: Change-on-Change Regression</w:t>
            </w:r>
          </w:p>
        </w:tc>
      </w:tr>
      <w:tr w:rsidR="00267B32" w:rsidRPr="00267B32" w:rsidTr="00267B32">
        <w:trPr>
          <w:trHeight w:val="255"/>
        </w:trPr>
        <w:tc>
          <w:tcPr>
            <w:tcW w:w="5000" w:type="pct"/>
            <w:gridSpan w:val="5"/>
            <w:tcBorders>
              <w:top w:val="nil"/>
              <w:left w:val="nil"/>
              <w:bottom w:val="single" w:sz="4" w:space="0" w:color="auto"/>
              <w:right w:val="nil"/>
            </w:tcBorders>
            <w:shd w:val="clear" w:color="auto" w:fill="auto"/>
            <w:noWrap/>
            <w:vAlign w:val="bottom"/>
            <w:hideMark/>
          </w:tcPr>
          <w:p w:rsidR="00267B32" w:rsidRPr="00267B32" w:rsidRDefault="00267B32" w:rsidP="00D01EDF">
            <w:pPr>
              <w:widowControl/>
              <w:wordWrap/>
              <w:autoSpaceDE/>
              <w:autoSpaceDN/>
              <w:spacing w:after="0" w:line="240" w:lineRule="auto"/>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This table reports the results that examine the impact of business group influence on non-member firms’ financial distress risk based on change-on-change regression: first difference is used for all dependent and independent variables. In order to measure firm’s financial distress risk, accounting information based KM-score (Multiple discri</w:t>
            </w:r>
            <w:r w:rsidR="00D01EDF">
              <w:rPr>
                <w:rFonts w:ascii="Times New Roman" w:eastAsia="굴림" w:hAnsi="Times New Roman" w:cs="Times New Roman"/>
                <w:kern w:val="0"/>
                <w:sz w:val="18"/>
                <w:szCs w:val="18"/>
              </w:rPr>
              <w:t>minant analysis) and KL-score (L</w:t>
            </w:r>
            <w:r w:rsidRPr="00267B32">
              <w:rPr>
                <w:rFonts w:ascii="Times New Roman" w:eastAsia="굴림" w:hAnsi="Times New Roman" w:cs="Times New Roman"/>
                <w:kern w:val="0"/>
                <w:sz w:val="18"/>
                <w:szCs w:val="18"/>
              </w:rPr>
              <w:t xml:space="preserve">ogit regression analysis) are used. To proxy for industry wide business group influence, the business group strength and dominance index (BSDI), developed by </w:t>
            </w:r>
            <w:r w:rsidR="00886B05" w:rsidRPr="00267B32">
              <w:rPr>
                <w:rFonts w:ascii="Times New Roman" w:eastAsia="굴림" w:hAnsi="Times New Roman" w:cs="Times New Roman"/>
                <w:kern w:val="0"/>
                <w:sz w:val="18"/>
                <w:szCs w:val="18"/>
              </w:rPr>
              <w:fldChar w:fldCharType="begin"/>
            </w:r>
            <w:r w:rsidRPr="00267B32">
              <w:rPr>
                <w:rFonts w:ascii="Times New Roman" w:eastAsia="굴림" w:hAnsi="Times New Roman" w:cs="Times New Roman"/>
                <w:kern w:val="0"/>
                <w:sz w:val="18"/>
                <w:szCs w:val="18"/>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267B32">
              <w:rPr>
                <w:rFonts w:ascii="Times New Roman" w:eastAsia="굴림" w:hAnsi="Times New Roman" w:cs="Times New Roman"/>
                <w:kern w:val="0"/>
                <w:sz w:val="18"/>
                <w:szCs w:val="18"/>
              </w:rPr>
              <w:fldChar w:fldCharType="separate"/>
            </w:r>
            <w:hyperlink w:anchor="_ENREF_1" w:tooltip="Liu, 2016 #130" w:history="1">
              <w:r w:rsidRPr="00267B32">
                <w:rPr>
                  <w:rFonts w:ascii="Times New Roman" w:eastAsia="굴림" w:hAnsi="Times New Roman" w:cs="Times New Roman"/>
                  <w:noProof/>
                  <w:kern w:val="0"/>
                  <w:sz w:val="18"/>
                  <w:szCs w:val="18"/>
                </w:rPr>
                <w:t>Liu et al. (2016</w:t>
              </w:r>
            </w:hyperlink>
            <w:r w:rsidRPr="00267B32">
              <w:rPr>
                <w:rFonts w:ascii="Times New Roman" w:eastAsia="굴림" w:hAnsi="Times New Roman" w:cs="Times New Roman"/>
                <w:noProof/>
                <w:kern w:val="0"/>
                <w:sz w:val="18"/>
                <w:szCs w:val="18"/>
              </w:rPr>
              <w:t>)</w:t>
            </w:r>
            <w:r w:rsidR="00886B05" w:rsidRPr="00267B32">
              <w:rPr>
                <w:rFonts w:ascii="Times New Roman" w:eastAsia="굴림" w:hAnsi="Times New Roman" w:cs="Times New Roman"/>
                <w:kern w:val="0"/>
                <w:sz w:val="18"/>
                <w:szCs w:val="18"/>
              </w:rPr>
              <w:fldChar w:fldCharType="end"/>
            </w:r>
            <w:r w:rsidRPr="00267B32">
              <w:rPr>
                <w:rFonts w:ascii="Times New Roman" w:eastAsia="굴림" w:hAnsi="Times New Roman" w:cs="Times New Roman"/>
                <w:kern w:val="0"/>
                <w:sz w:val="18"/>
                <w:szCs w:val="18"/>
              </w:rPr>
              <w:t xml:space="preserve">, is used. The BSDI is also decomposed into two orthogonal components: BG MKT Share and ICM size, so that we can evaluate their effects separately. The former is related to member firms’ market share within an industry and the latter is related to the size of internal capital market member firms possess in the same industry. We also control for variables that are known to be determinants of firm’s financial distress risk by previous studies, including: the </w:t>
            </w:r>
            <w:proofErr w:type="spellStart"/>
            <w:r w:rsidRPr="00267B32">
              <w:rPr>
                <w:rFonts w:ascii="Times New Roman" w:eastAsia="굴림" w:hAnsi="Times New Roman" w:cs="Times New Roman"/>
                <w:kern w:val="0"/>
                <w:sz w:val="18"/>
                <w:szCs w:val="18"/>
              </w:rPr>
              <w:t>Herfindahl</w:t>
            </w:r>
            <w:proofErr w:type="spellEnd"/>
            <w:r w:rsidRPr="00267B32">
              <w:rPr>
                <w:rFonts w:ascii="Times New Roman" w:eastAsia="굴림" w:hAnsi="Times New Roman" w:cs="Times New Roman"/>
                <w:kern w:val="0"/>
                <w:sz w:val="18"/>
                <w:szCs w:val="18"/>
              </w:rPr>
              <w:t xml:space="preserve">-Hirschman index (HHI), size, leverage, profitability, R&amp;D intensity and risk free rate. For more detailed variable definition, please refer to Section </w:t>
            </w:r>
            <w:r w:rsidR="00886B05">
              <w:rPr>
                <w:rFonts w:ascii="Times New Roman" w:eastAsia="굴림" w:hAnsi="Times New Roman" w:cs="Times New Roman"/>
                <w:kern w:val="0"/>
                <w:sz w:val="18"/>
                <w:szCs w:val="18"/>
              </w:rPr>
              <w:fldChar w:fldCharType="begin"/>
            </w:r>
            <w:r w:rsidR="00D01EDF">
              <w:rPr>
                <w:rFonts w:ascii="Times New Roman" w:eastAsia="SimSun" w:hAnsi="Times New Roman" w:cs="Times New Roman"/>
                <w:kern w:val="0"/>
                <w:sz w:val="18"/>
                <w:szCs w:val="18"/>
                <w:lang w:eastAsia="zh-CN"/>
              </w:rPr>
              <w:instrText xml:space="preserve"> </w:instrText>
            </w:r>
            <w:r w:rsidR="00D01EDF">
              <w:rPr>
                <w:rFonts w:ascii="Times New Roman" w:eastAsia="SimSun" w:hAnsi="Times New Roman" w:cs="Times New Roman" w:hint="eastAsia"/>
                <w:kern w:val="0"/>
                <w:sz w:val="18"/>
                <w:szCs w:val="18"/>
                <w:lang w:eastAsia="zh-CN"/>
              </w:rPr>
              <w:instrText>= 3 \* ROMAN</w:instrText>
            </w:r>
            <w:r w:rsidR="00D01EDF">
              <w:rPr>
                <w:rFonts w:ascii="Times New Roman" w:eastAsia="SimSun" w:hAnsi="Times New Roman" w:cs="Times New Roman"/>
                <w:kern w:val="0"/>
                <w:sz w:val="18"/>
                <w:szCs w:val="18"/>
                <w:lang w:eastAsia="zh-CN"/>
              </w:rPr>
              <w:instrText xml:space="preserve"> </w:instrText>
            </w:r>
            <w:r w:rsidR="00886B05">
              <w:rPr>
                <w:rFonts w:ascii="Times New Roman" w:eastAsia="굴림" w:hAnsi="Times New Roman" w:cs="Times New Roman"/>
                <w:kern w:val="0"/>
                <w:sz w:val="18"/>
                <w:szCs w:val="18"/>
              </w:rPr>
              <w:fldChar w:fldCharType="separate"/>
            </w:r>
            <w:r w:rsidR="00D01EDF">
              <w:rPr>
                <w:rFonts w:ascii="Times New Roman" w:eastAsia="SimSun" w:hAnsi="Times New Roman" w:cs="Times New Roman"/>
                <w:noProof/>
                <w:kern w:val="0"/>
                <w:sz w:val="18"/>
                <w:szCs w:val="18"/>
                <w:lang w:eastAsia="zh-CN"/>
              </w:rPr>
              <w:t>III</w:t>
            </w:r>
            <w:r w:rsidR="00886B05">
              <w:rPr>
                <w:rFonts w:ascii="Times New Roman" w:eastAsia="굴림" w:hAnsi="Times New Roman" w:cs="Times New Roman"/>
                <w:kern w:val="0"/>
                <w:sz w:val="18"/>
                <w:szCs w:val="18"/>
              </w:rPr>
              <w:fldChar w:fldCharType="end"/>
            </w:r>
            <w:r w:rsidRPr="00267B32">
              <w:rPr>
                <w:rFonts w:ascii="Times New Roman" w:eastAsia="굴림" w:hAnsi="Times New Roman" w:cs="Times New Roman"/>
                <w:kern w:val="0"/>
                <w:sz w:val="18"/>
                <w:szCs w:val="18"/>
              </w:rPr>
              <w:t xml:space="preserve">. Numbers in the parentheses are firm level clustered robust t statistic. *,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8"/>
                <w:szCs w:val="18"/>
              </w:rPr>
              <w:t>is</w:t>
            </w:r>
            <w:r w:rsidRPr="00267B32">
              <w:rPr>
                <w:rFonts w:ascii="Times New Roman" w:eastAsia="굴림" w:hAnsi="Times New Roman" w:cs="Times New Roman"/>
                <w:kern w:val="0"/>
                <w:sz w:val="18"/>
                <w:szCs w:val="18"/>
              </w:rPr>
              <w:t xml:space="preserve"> excluded from the sample.</w:t>
            </w:r>
          </w:p>
        </w:tc>
      </w:tr>
      <w:tr w:rsidR="00267B32" w:rsidRPr="00267B32" w:rsidTr="00267B32">
        <w:trPr>
          <w:trHeight w:val="255"/>
        </w:trPr>
        <w:tc>
          <w:tcPr>
            <w:tcW w:w="1348" w:type="pct"/>
            <w:tcBorders>
              <w:top w:val="single" w:sz="4" w:space="0" w:color="auto"/>
              <w:left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1827" w:type="pct"/>
            <w:gridSpan w:val="2"/>
            <w:tcBorders>
              <w:top w:val="single" w:sz="4" w:space="0" w:color="auto"/>
              <w:left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KL-score</w:t>
            </w:r>
          </w:p>
        </w:tc>
        <w:tc>
          <w:tcPr>
            <w:tcW w:w="1825" w:type="pct"/>
            <w:gridSpan w:val="2"/>
            <w:tcBorders>
              <w:top w:val="single" w:sz="4" w:space="0" w:color="auto"/>
              <w:left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KM-score</w:t>
            </w:r>
          </w:p>
        </w:tc>
      </w:tr>
      <w:tr w:rsidR="00267B32" w:rsidRPr="00267B32" w:rsidTr="00267B32">
        <w:trPr>
          <w:trHeight w:val="255"/>
        </w:trPr>
        <w:tc>
          <w:tcPr>
            <w:tcW w:w="1348" w:type="pct"/>
            <w:tcBorders>
              <w:left w:val="nil"/>
              <w:bottom w:val="single" w:sz="4" w:space="0" w:color="000000"/>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VARIABLES</w:t>
            </w:r>
          </w:p>
        </w:tc>
        <w:tc>
          <w:tcPr>
            <w:tcW w:w="913" w:type="pct"/>
            <w:tcBorders>
              <w:left w:val="nil"/>
              <w:bottom w:val="single" w:sz="4" w:space="0" w:color="000000"/>
              <w:right w:val="nil"/>
            </w:tcBorders>
            <w:shd w:val="clear" w:color="auto" w:fill="auto"/>
            <w:noWrap/>
            <w:vAlign w:val="center"/>
            <w:hideMark/>
          </w:tcPr>
          <w:p w:rsidR="00267B32" w:rsidRPr="004D53E2" w:rsidRDefault="00267B32" w:rsidP="00267B3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(1)</w:t>
            </w:r>
          </w:p>
        </w:tc>
        <w:tc>
          <w:tcPr>
            <w:tcW w:w="914" w:type="pct"/>
            <w:tcBorders>
              <w:left w:val="nil"/>
              <w:bottom w:val="single" w:sz="4" w:space="0" w:color="000000"/>
              <w:right w:val="nil"/>
            </w:tcBorders>
            <w:shd w:val="clear" w:color="auto" w:fill="auto"/>
            <w:noWrap/>
            <w:vAlign w:val="center"/>
            <w:hideMark/>
          </w:tcPr>
          <w:p w:rsidR="00267B32" w:rsidRPr="004D53E2" w:rsidRDefault="00267B32" w:rsidP="00267B3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(2)</w:t>
            </w:r>
          </w:p>
        </w:tc>
        <w:tc>
          <w:tcPr>
            <w:tcW w:w="911" w:type="pct"/>
            <w:tcBorders>
              <w:left w:val="nil"/>
              <w:bottom w:val="single" w:sz="4" w:space="0" w:color="000000"/>
              <w:right w:val="nil"/>
            </w:tcBorders>
            <w:shd w:val="clear" w:color="auto" w:fill="auto"/>
            <w:noWrap/>
            <w:vAlign w:val="center"/>
            <w:hideMark/>
          </w:tcPr>
          <w:p w:rsidR="00267B32" w:rsidRPr="004D53E2" w:rsidRDefault="00267B32" w:rsidP="00267B3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(3)</w:t>
            </w:r>
          </w:p>
        </w:tc>
        <w:tc>
          <w:tcPr>
            <w:tcW w:w="913" w:type="pct"/>
            <w:tcBorders>
              <w:left w:val="nil"/>
              <w:bottom w:val="single" w:sz="4" w:space="0" w:color="000000"/>
              <w:right w:val="nil"/>
            </w:tcBorders>
            <w:shd w:val="clear" w:color="auto" w:fill="auto"/>
            <w:noWrap/>
            <w:vAlign w:val="center"/>
            <w:hideMark/>
          </w:tcPr>
          <w:p w:rsidR="00267B32" w:rsidRPr="004D53E2" w:rsidRDefault="00267B32" w:rsidP="00267B32">
            <w:pPr>
              <w:widowControl/>
              <w:wordWrap/>
              <w:autoSpaceDE/>
              <w:autoSpaceDN/>
              <w:spacing w:after="0" w:line="240" w:lineRule="auto"/>
              <w:jc w:val="center"/>
              <w:rPr>
                <w:rFonts w:ascii="Times New Roman" w:eastAsia="굴림" w:hAnsi="Times New Roman" w:cs="Times New Roman"/>
                <w:kern w:val="0"/>
                <w:sz w:val="16"/>
                <w:szCs w:val="16"/>
              </w:rPr>
            </w:pPr>
            <w:r>
              <w:rPr>
                <w:rFonts w:ascii="Times New Roman" w:eastAsia="굴림" w:hAnsi="Times New Roman" w:cs="Times New Roman"/>
                <w:kern w:val="0"/>
                <w:sz w:val="16"/>
                <w:szCs w:val="16"/>
              </w:rPr>
              <w:t>(4)</w:t>
            </w:r>
          </w:p>
        </w:tc>
      </w:tr>
      <w:tr w:rsidR="00267B32" w:rsidRPr="00267B32" w:rsidTr="00267B32">
        <w:trPr>
          <w:trHeight w:val="255"/>
        </w:trPr>
        <w:tc>
          <w:tcPr>
            <w:tcW w:w="1348" w:type="pct"/>
            <w:vMerge w:val="restart"/>
            <w:tcBorders>
              <w:top w:val="single" w:sz="4" w:space="0" w:color="000000"/>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BSDI</w:t>
            </w:r>
          </w:p>
        </w:tc>
        <w:tc>
          <w:tcPr>
            <w:tcW w:w="913" w:type="pct"/>
            <w:tcBorders>
              <w:top w:val="single" w:sz="4" w:space="0" w:color="000000"/>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0.6385***</w:t>
            </w:r>
          </w:p>
        </w:tc>
        <w:tc>
          <w:tcPr>
            <w:tcW w:w="914" w:type="pct"/>
            <w:tcBorders>
              <w:top w:val="single" w:sz="4" w:space="0" w:color="000000"/>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1" w:type="pct"/>
            <w:tcBorders>
              <w:top w:val="single" w:sz="4" w:space="0" w:color="000000"/>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0.8730***</w:t>
            </w:r>
          </w:p>
        </w:tc>
        <w:tc>
          <w:tcPr>
            <w:tcW w:w="913" w:type="pct"/>
            <w:tcBorders>
              <w:top w:val="single" w:sz="4" w:space="0" w:color="000000"/>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(4.35)</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 xml:space="preserve">Delta </w:t>
            </w:r>
            <w:r w:rsidR="00D01EDF">
              <w:rPr>
                <w:rFonts w:ascii="Times New Roman" w:eastAsia="굴림" w:hAnsi="Times New Roman" w:cs="Times New Roman"/>
                <w:kern w:val="0"/>
                <w:sz w:val="18"/>
                <w:szCs w:val="18"/>
              </w:rPr>
              <w:t>BG MKT Share</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0.8617***</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1.2956***</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(3.90)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(4.30)</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D01EDF">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 xml:space="preserve">Delta ICM </w:t>
            </w:r>
            <w:r w:rsidR="00D01EDF">
              <w:rPr>
                <w:rFonts w:ascii="Times New Roman" w:eastAsia="굴림" w:hAnsi="Times New Roman" w:cs="Times New Roman"/>
                <w:kern w:val="0"/>
                <w:sz w:val="18"/>
                <w:szCs w:val="18"/>
              </w:rPr>
              <w:t>Size</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0.3921***</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0.5182**</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(2.61)</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(2.51)</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HHI</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0.1237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0.0485</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0.3600*</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0.2252</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(0.82)</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(0.30)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(1.73)</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(1.03)</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Size</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-0.9437***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-0.9435***</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-0.7507***</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-0.7505***</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(-108.44)</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(-108.42)</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(-61.59)</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(-61.57)</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Leverage Ratio</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0.0010***</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0.0010***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0.0012***</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0.0012***</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(5.16)</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(5.17)</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(4.37)</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(4.37)</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Profitability</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-0.5067***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-0.5070***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-0.2844***</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-0.2848***</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(-32.25)</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(-32.27)</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(-12.74)</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(-12.76)</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R&amp;D Intensity</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-1.4607***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-1.4632***</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-0.7827</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-0.7863</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(-2.77)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(-2.78)</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(-1.07)</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(-1.08)</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Delta Risk Free Rate</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-1.0679***</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-1.0418***</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-1.1707***</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-1.1280***</w:t>
            </w: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(-3.49)</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(-3.40)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(-2.82)</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(-2.71)</w:t>
            </w:r>
          </w:p>
        </w:tc>
      </w:tr>
      <w:tr w:rsidR="00267B32" w:rsidRPr="00267B32" w:rsidTr="00267B32">
        <w:trPr>
          <w:trHeight w:val="255"/>
        </w:trPr>
        <w:tc>
          <w:tcPr>
            <w:tcW w:w="1348" w:type="pct"/>
            <w:vMerge w:val="restart"/>
            <w:tcBorders>
              <w:top w:val="nil"/>
              <w:left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Constant</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0.6385***</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0.8730***</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r>
      <w:tr w:rsidR="00267B32" w:rsidRPr="00267B32" w:rsidTr="00267B32">
        <w:trPr>
          <w:trHeight w:val="255"/>
        </w:trPr>
        <w:tc>
          <w:tcPr>
            <w:tcW w:w="1348" w:type="pct"/>
            <w:vMerge/>
            <w:tcBorders>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(4.37)</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(4.35)</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p>
        </w:tc>
      </w:tr>
      <w:tr w:rsidR="00267B32" w:rsidRPr="00267B32" w:rsidTr="00267B32">
        <w:trPr>
          <w:trHeight w:val="255"/>
        </w:trPr>
        <w:tc>
          <w:tcPr>
            <w:tcW w:w="1348" w:type="pct"/>
            <w:tcBorders>
              <w:top w:val="nil"/>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 xml:space="preserve">Year </w:t>
            </w:r>
            <w:r w:rsidRPr="00267B32">
              <w:rPr>
                <w:rFonts w:ascii="Times New Roman" w:eastAsia="굴림" w:hAnsi="Times New Roman" w:cs="Times New Roman"/>
                <w:kern w:val="0"/>
                <w:sz w:val="18"/>
                <w:szCs w:val="18"/>
              </w:rPr>
              <w:t>Effects</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Yes</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Yes</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Yes</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Yes</w:t>
            </w:r>
          </w:p>
        </w:tc>
      </w:tr>
      <w:tr w:rsidR="00267B32" w:rsidRPr="00267B32" w:rsidTr="00267B32">
        <w:trPr>
          <w:trHeight w:val="255"/>
        </w:trPr>
        <w:tc>
          <w:tcPr>
            <w:tcW w:w="1348" w:type="pct"/>
            <w:tcBorders>
              <w:top w:val="nil"/>
              <w:left w:val="nil"/>
              <w:bottom w:val="nil"/>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Observations</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161,500</w:t>
            </w:r>
          </w:p>
        </w:tc>
        <w:tc>
          <w:tcPr>
            <w:tcW w:w="914"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161,500</w:t>
            </w:r>
          </w:p>
        </w:tc>
        <w:tc>
          <w:tcPr>
            <w:tcW w:w="911"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161,500</w:t>
            </w:r>
          </w:p>
        </w:tc>
        <w:tc>
          <w:tcPr>
            <w:tcW w:w="913" w:type="pct"/>
            <w:tcBorders>
              <w:top w:val="nil"/>
              <w:left w:val="nil"/>
              <w:bottom w:val="nil"/>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161,500</w:t>
            </w:r>
          </w:p>
        </w:tc>
      </w:tr>
      <w:tr w:rsidR="00267B32" w:rsidRPr="00267B32" w:rsidTr="00267B32">
        <w:trPr>
          <w:trHeight w:val="255"/>
        </w:trPr>
        <w:tc>
          <w:tcPr>
            <w:tcW w:w="1348" w:type="pct"/>
            <w:tcBorders>
              <w:top w:val="nil"/>
              <w:left w:val="nil"/>
              <w:bottom w:val="single" w:sz="4" w:space="0" w:color="auto"/>
              <w:right w:val="nil"/>
            </w:tcBorders>
            <w:shd w:val="clear" w:color="auto" w:fill="auto"/>
            <w:noWrap/>
            <w:vAlign w:val="center"/>
            <w:hideMark/>
          </w:tcPr>
          <w:p w:rsidR="00267B32" w:rsidRPr="00267B32" w:rsidRDefault="00267B32" w:rsidP="00267B32">
            <w:pPr>
              <w:widowControl/>
              <w:wordWrap/>
              <w:autoSpaceDE/>
              <w:autoSpaceDN/>
              <w:spacing w:after="0" w:line="240" w:lineRule="auto"/>
              <w:jc w:val="left"/>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Within R</w:t>
            </w:r>
            <w:r>
              <w:rPr>
                <w:rFonts w:ascii="Times New Roman" w:eastAsia="굴림" w:hAnsi="Times New Roman" w:cs="Times New Roman"/>
                <w:kern w:val="0"/>
                <w:sz w:val="18"/>
                <w:szCs w:val="18"/>
              </w:rPr>
              <w:t>^2</w:t>
            </w:r>
          </w:p>
        </w:tc>
        <w:tc>
          <w:tcPr>
            <w:tcW w:w="913" w:type="pct"/>
            <w:tcBorders>
              <w:top w:val="nil"/>
              <w:left w:val="nil"/>
              <w:bottom w:val="single" w:sz="4" w:space="0" w:color="auto"/>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0.2788</w:t>
            </w:r>
          </w:p>
        </w:tc>
        <w:tc>
          <w:tcPr>
            <w:tcW w:w="914" w:type="pct"/>
            <w:tcBorders>
              <w:top w:val="nil"/>
              <w:left w:val="nil"/>
              <w:bottom w:val="single" w:sz="4" w:space="0" w:color="auto"/>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0.2788</w:t>
            </w:r>
          </w:p>
        </w:tc>
        <w:tc>
          <w:tcPr>
            <w:tcW w:w="911" w:type="pct"/>
            <w:tcBorders>
              <w:top w:val="nil"/>
              <w:left w:val="nil"/>
              <w:bottom w:val="single" w:sz="4" w:space="0" w:color="auto"/>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0.1051</w:t>
            </w:r>
          </w:p>
        </w:tc>
        <w:tc>
          <w:tcPr>
            <w:tcW w:w="913" w:type="pct"/>
            <w:tcBorders>
              <w:top w:val="nil"/>
              <w:left w:val="nil"/>
              <w:bottom w:val="single" w:sz="4" w:space="0" w:color="auto"/>
              <w:right w:val="nil"/>
            </w:tcBorders>
            <w:shd w:val="clear" w:color="auto" w:fill="auto"/>
            <w:noWrap/>
            <w:vAlign w:val="bottom"/>
            <w:hideMark/>
          </w:tcPr>
          <w:p w:rsidR="00267B32" w:rsidRPr="00267B32" w:rsidRDefault="00267B32" w:rsidP="00267B32">
            <w:pPr>
              <w:widowControl/>
              <w:wordWrap/>
              <w:autoSpaceDE/>
              <w:autoSpaceDN/>
              <w:spacing w:after="0" w:line="240" w:lineRule="auto"/>
              <w:jc w:val="center"/>
              <w:rPr>
                <w:rFonts w:ascii="Times New Roman" w:eastAsia="굴림" w:hAnsi="Times New Roman" w:cs="Times New Roman"/>
                <w:kern w:val="0"/>
                <w:sz w:val="18"/>
                <w:szCs w:val="18"/>
              </w:rPr>
            </w:pPr>
            <w:r w:rsidRPr="00267B32">
              <w:rPr>
                <w:rFonts w:ascii="Times New Roman" w:eastAsia="굴림" w:hAnsi="Times New Roman" w:cs="Times New Roman"/>
                <w:kern w:val="0"/>
                <w:sz w:val="18"/>
                <w:szCs w:val="18"/>
              </w:rPr>
              <w:t>0.1052</w:t>
            </w:r>
          </w:p>
        </w:tc>
      </w:tr>
    </w:tbl>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pPr>
    </w:p>
    <w:p w:rsidR="00267B32" w:rsidRDefault="00267B32" w:rsidP="003D699C">
      <w:pPr>
        <w:widowControl/>
        <w:wordWrap/>
        <w:autoSpaceDE/>
        <w:autoSpaceDN/>
        <w:rPr>
          <w:rFonts w:ascii="Times New Roman" w:hAnsi="Times New Roman" w:cs="Times New Roman"/>
          <w:szCs w:val="20"/>
        </w:rPr>
        <w:sectPr w:rsidR="00267B32" w:rsidSect="00267B32">
          <w:pgSz w:w="11906" w:h="16838"/>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1460"/>
        <w:gridCol w:w="1290"/>
        <w:gridCol w:w="1291"/>
        <w:gridCol w:w="1289"/>
        <w:gridCol w:w="1289"/>
        <w:gridCol w:w="1304"/>
        <w:gridCol w:w="1301"/>
      </w:tblGrid>
      <w:tr w:rsidR="00745CA5" w:rsidRPr="00745CA5" w:rsidTr="00745CA5">
        <w:trPr>
          <w:trHeight w:val="255"/>
        </w:trPr>
        <w:tc>
          <w:tcPr>
            <w:tcW w:w="5000" w:type="pct"/>
            <w:gridSpan w:val="7"/>
            <w:shd w:val="clear" w:color="auto" w:fill="auto"/>
            <w:noWrap/>
            <w:vAlign w:val="bottom"/>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b/>
                <w:kern w:val="0"/>
                <w:sz w:val="18"/>
                <w:szCs w:val="18"/>
              </w:rPr>
            </w:pPr>
            <w:r w:rsidRPr="00745CA5">
              <w:rPr>
                <w:rFonts w:ascii="Times New Roman" w:eastAsia="굴림" w:hAnsi="Times New Roman" w:cs="Times New Roman"/>
                <w:b/>
                <w:kern w:val="0"/>
                <w:sz w:val="18"/>
                <w:szCs w:val="18"/>
              </w:rPr>
              <w:lastRenderedPageBreak/>
              <w:t xml:space="preserve">Table 9. Business Group’s Influence on Public </w:t>
            </w:r>
            <w:r w:rsidR="00D01EDF">
              <w:rPr>
                <w:rFonts w:ascii="Times New Roman" w:eastAsia="굴림" w:hAnsi="Times New Roman" w:cs="Times New Roman"/>
                <w:b/>
                <w:kern w:val="0"/>
                <w:sz w:val="18"/>
                <w:szCs w:val="18"/>
              </w:rPr>
              <w:t>Non-member F</w:t>
            </w:r>
            <w:r w:rsidRPr="00745CA5">
              <w:rPr>
                <w:rFonts w:ascii="Times New Roman" w:eastAsia="굴림" w:hAnsi="Times New Roman" w:cs="Times New Roman"/>
                <w:b/>
                <w:kern w:val="0"/>
                <w:sz w:val="18"/>
                <w:szCs w:val="18"/>
              </w:rPr>
              <w:t>irms’ Credit Rating</w:t>
            </w:r>
          </w:p>
        </w:tc>
      </w:tr>
      <w:tr w:rsidR="00745CA5" w:rsidRPr="00745CA5" w:rsidTr="00745CA5">
        <w:trPr>
          <w:trHeight w:val="255"/>
        </w:trPr>
        <w:tc>
          <w:tcPr>
            <w:tcW w:w="5000" w:type="pct"/>
            <w:gridSpan w:val="7"/>
            <w:tcBorders>
              <w:bottom w:val="single" w:sz="4" w:space="0" w:color="000000"/>
            </w:tcBorders>
            <w:shd w:val="clear" w:color="auto" w:fill="auto"/>
            <w:noWrap/>
            <w:vAlign w:val="bottom"/>
          </w:tcPr>
          <w:p w:rsidR="00745CA5" w:rsidRPr="00745CA5" w:rsidRDefault="00745CA5" w:rsidP="00D01EDF">
            <w:pPr>
              <w:widowControl/>
              <w:wordWrap/>
              <w:autoSpaceDE/>
              <w:autoSpaceDN/>
              <w:spacing w:after="0" w:line="240" w:lineRule="auto"/>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 xml:space="preserve">This table reports the results that examine the impact of business group influence on the credit rating of public non-member firms. As an alternative measure of financial distress risk, credit rating is a categorical variable ranges from 1 to 10 with score 1 referring to the highest level of financial health. Column (1) and (3) report results based on OLS regression and control for firm fixed effect; Column (4) and (5) report results based on OLS regression and control for industry fixed effect; and the last two columns report results based ordered logit regression. To proxy for industry wide business group influence, the business group strength and dominance index (BSDI), developed by </w:t>
            </w:r>
            <w:r w:rsidR="00886B05" w:rsidRPr="00745CA5">
              <w:rPr>
                <w:rFonts w:ascii="Times New Roman" w:eastAsia="굴림" w:hAnsi="Times New Roman" w:cs="Times New Roman"/>
                <w:kern w:val="0"/>
                <w:sz w:val="18"/>
                <w:szCs w:val="18"/>
              </w:rPr>
              <w:fldChar w:fldCharType="begin"/>
            </w:r>
            <w:r w:rsidRPr="00745CA5">
              <w:rPr>
                <w:rFonts w:ascii="Times New Roman" w:eastAsia="굴림" w:hAnsi="Times New Roman" w:cs="Times New Roman"/>
                <w:kern w:val="0"/>
                <w:sz w:val="18"/>
                <w:szCs w:val="18"/>
              </w:rPr>
              <w:instrText xml:space="preserve"> ADDIN EN.CITE &lt;EndNote&gt;&lt;Cite&gt;&lt;Author&gt;Liu&lt;/Author&gt;&lt;Year&gt;2016&lt;/Year&gt;&lt;RecNum&gt;130&lt;/RecNum&gt;&lt;DisplayText&gt;Liu, Kim and Sung (2016)&lt;/DisplayText&gt;&lt;record&gt;&lt;rec-number&gt;130&lt;/rec-number&gt;&lt;foreign-keys&gt;&lt;key app="EN" db-id="0w9rezxppe2pzrezf0lpzvz3rp29t2ds5e5t"&gt;130&lt;/key&gt;&lt;/foreign-keys&gt;&lt;ref-type name="Journal Article"&gt;17&lt;/ref-type&gt;&lt;contributors&gt;&lt;authors&gt;&lt;author&gt;Liu,Yunxiao&lt;/author&gt;&lt;author&gt;Kim, Woochan&lt;/author&gt;&lt;author&gt;Sung,Taeyoon&lt;/author&gt;&lt;/authors&gt;&lt;/contributors&gt;&lt;titles&gt;&lt;title&gt;Do Business Groups Harm Capital Allocation Efficiency Outside the Business Group?&lt;/title&gt;&lt;alt-title&gt;Working Paper&lt;/alt-title&gt;&lt;/titles&gt;&lt;alt-periodical&gt;&lt;abbr-1&gt;Working Paper&lt;/abbr-1&gt;&lt;/alt-periodical&gt;&lt;dates&gt;&lt;year&gt;2016&lt;/year&gt;&lt;/dates&gt;&lt;orig-pub&gt;Korea University&lt;/orig-pub&gt;&lt;urls&gt;&lt;/urls&gt;&lt;/record&gt;&lt;/Cite&gt;&lt;/EndNote&gt;</w:instrText>
            </w:r>
            <w:r w:rsidR="00886B05" w:rsidRPr="00745CA5">
              <w:rPr>
                <w:rFonts w:ascii="Times New Roman" w:eastAsia="굴림" w:hAnsi="Times New Roman" w:cs="Times New Roman"/>
                <w:kern w:val="0"/>
                <w:sz w:val="18"/>
                <w:szCs w:val="18"/>
              </w:rPr>
              <w:fldChar w:fldCharType="separate"/>
            </w:r>
            <w:hyperlink w:anchor="_ENREF_1" w:tooltip="Liu, 2016 #130" w:history="1">
              <w:r w:rsidRPr="00745CA5">
                <w:rPr>
                  <w:rFonts w:ascii="Times New Roman" w:eastAsia="굴림" w:hAnsi="Times New Roman" w:cs="Times New Roman"/>
                  <w:noProof/>
                  <w:kern w:val="0"/>
                  <w:sz w:val="18"/>
                  <w:szCs w:val="18"/>
                </w:rPr>
                <w:t>Liu et al. (2016</w:t>
              </w:r>
            </w:hyperlink>
            <w:r w:rsidRPr="00745CA5">
              <w:rPr>
                <w:rFonts w:ascii="Times New Roman" w:eastAsia="굴림" w:hAnsi="Times New Roman" w:cs="Times New Roman"/>
                <w:noProof/>
                <w:kern w:val="0"/>
                <w:sz w:val="18"/>
                <w:szCs w:val="18"/>
              </w:rPr>
              <w:t>)</w:t>
            </w:r>
            <w:r w:rsidR="00886B05" w:rsidRPr="00745CA5">
              <w:rPr>
                <w:rFonts w:ascii="Times New Roman" w:eastAsia="굴림" w:hAnsi="Times New Roman" w:cs="Times New Roman"/>
                <w:kern w:val="0"/>
                <w:sz w:val="18"/>
                <w:szCs w:val="18"/>
              </w:rPr>
              <w:fldChar w:fldCharType="end"/>
            </w:r>
            <w:r w:rsidRPr="00745CA5">
              <w:rPr>
                <w:rFonts w:ascii="Times New Roman" w:eastAsia="굴림" w:hAnsi="Times New Roman" w:cs="Times New Roman"/>
                <w:kern w:val="0"/>
                <w:sz w:val="18"/>
                <w:szCs w:val="18"/>
              </w:rPr>
              <w:t xml:space="preserve">, is used. The BSDI is also decomposed into two orthogonal components: BG MKT Share and ICM size, so that we can evaluate their effects separately. The former is related to member firms’ market share within an industry and the latter is related to the size of internal capital market member firms possess in the same industry. We also control for variables that are known to be determinants of firm’s financial distress risk by previous studies, including: the </w:t>
            </w:r>
            <w:proofErr w:type="spellStart"/>
            <w:r w:rsidRPr="00745CA5">
              <w:rPr>
                <w:rFonts w:ascii="Times New Roman" w:eastAsia="굴림" w:hAnsi="Times New Roman" w:cs="Times New Roman"/>
                <w:kern w:val="0"/>
                <w:sz w:val="18"/>
                <w:szCs w:val="18"/>
              </w:rPr>
              <w:t>Herfindahl</w:t>
            </w:r>
            <w:proofErr w:type="spellEnd"/>
            <w:r w:rsidRPr="00745CA5">
              <w:rPr>
                <w:rFonts w:ascii="Times New Roman" w:eastAsia="굴림" w:hAnsi="Times New Roman" w:cs="Times New Roman"/>
                <w:kern w:val="0"/>
                <w:sz w:val="18"/>
                <w:szCs w:val="18"/>
              </w:rPr>
              <w:t xml:space="preserve">-Hirschman index (HHI), size, leverage, profitability, R&amp;D intensity and risk free rate. For more detailed variable definition, please refer to Section </w:t>
            </w:r>
            <w:r w:rsidR="00886B05">
              <w:rPr>
                <w:rFonts w:ascii="Times New Roman" w:eastAsia="굴림" w:hAnsi="Times New Roman" w:cs="Times New Roman"/>
                <w:kern w:val="0"/>
                <w:sz w:val="18"/>
                <w:szCs w:val="18"/>
              </w:rPr>
              <w:fldChar w:fldCharType="begin"/>
            </w:r>
            <w:r w:rsidR="00D01EDF">
              <w:rPr>
                <w:rFonts w:ascii="Times New Roman" w:eastAsia="SimSun" w:hAnsi="Times New Roman" w:cs="Times New Roman"/>
                <w:kern w:val="0"/>
                <w:sz w:val="18"/>
                <w:szCs w:val="18"/>
                <w:lang w:eastAsia="zh-CN"/>
              </w:rPr>
              <w:instrText xml:space="preserve"> </w:instrText>
            </w:r>
            <w:r w:rsidR="00D01EDF">
              <w:rPr>
                <w:rFonts w:ascii="Times New Roman" w:eastAsia="SimSun" w:hAnsi="Times New Roman" w:cs="Times New Roman" w:hint="eastAsia"/>
                <w:kern w:val="0"/>
                <w:sz w:val="18"/>
                <w:szCs w:val="18"/>
                <w:lang w:eastAsia="zh-CN"/>
              </w:rPr>
              <w:instrText>= 3 \* ROMAN</w:instrText>
            </w:r>
            <w:r w:rsidR="00D01EDF">
              <w:rPr>
                <w:rFonts w:ascii="Times New Roman" w:eastAsia="SimSun" w:hAnsi="Times New Roman" w:cs="Times New Roman"/>
                <w:kern w:val="0"/>
                <w:sz w:val="18"/>
                <w:szCs w:val="18"/>
                <w:lang w:eastAsia="zh-CN"/>
              </w:rPr>
              <w:instrText xml:space="preserve"> </w:instrText>
            </w:r>
            <w:r w:rsidR="00886B05">
              <w:rPr>
                <w:rFonts w:ascii="Times New Roman" w:eastAsia="굴림" w:hAnsi="Times New Roman" w:cs="Times New Roman"/>
                <w:kern w:val="0"/>
                <w:sz w:val="18"/>
                <w:szCs w:val="18"/>
              </w:rPr>
              <w:fldChar w:fldCharType="separate"/>
            </w:r>
            <w:r w:rsidR="00D01EDF">
              <w:rPr>
                <w:rFonts w:ascii="Times New Roman" w:eastAsia="SimSun" w:hAnsi="Times New Roman" w:cs="Times New Roman"/>
                <w:noProof/>
                <w:kern w:val="0"/>
                <w:sz w:val="18"/>
                <w:szCs w:val="18"/>
                <w:lang w:eastAsia="zh-CN"/>
              </w:rPr>
              <w:t>III</w:t>
            </w:r>
            <w:r w:rsidR="00886B05">
              <w:rPr>
                <w:rFonts w:ascii="Times New Roman" w:eastAsia="굴림" w:hAnsi="Times New Roman" w:cs="Times New Roman"/>
                <w:kern w:val="0"/>
                <w:sz w:val="18"/>
                <w:szCs w:val="18"/>
              </w:rPr>
              <w:fldChar w:fldCharType="end"/>
            </w:r>
            <w:r w:rsidRPr="00745CA5">
              <w:rPr>
                <w:rFonts w:ascii="Times New Roman" w:eastAsia="굴림" w:hAnsi="Times New Roman" w:cs="Times New Roman"/>
                <w:kern w:val="0"/>
                <w:sz w:val="18"/>
                <w:szCs w:val="18"/>
              </w:rPr>
              <w:t xml:space="preserve">. Numbers in the parentheses are firm level clustered robust t statistic. *,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8"/>
                <w:szCs w:val="18"/>
              </w:rPr>
              <w:t>is</w:t>
            </w:r>
            <w:r w:rsidRPr="00745CA5">
              <w:rPr>
                <w:rFonts w:ascii="Times New Roman" w:eastAsia="굴림" w:hAnsi="Times New Roman" w:cs="Times New Roman"/>
                <w:kern w:val="0"/>
                <w:sz w:val="18"/>
                <w:szCs w:val="18"/>
              </w:rPr>
              <w:t xml:space="preserve"> excluded from the sample.</w:t>
            </w:r>
          </w:p>
        </w:tc>
      </w:tr>
      <w:tr w:rsidR="00745CA5" w:rsidRPr="00745CA5" w:rsidTr="00D01EDF">
        <w:trPr>
          <w:trHeight w:val="255"/>
        </w:trPr>
        <w:tc>
          <w:tcPr>
            <w:tcW w:w="801" w:type="pct"/>
            <w:tcBorders>
              <w:top w:val="single" w:sz="4" w:space="0" w:color="000000"/>
            </w:tcBorders>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4199" w:type="pct"/>
            <w:gridSpan w:val="6"/>
            <w:tcBorders>
              <w:top w:val="single" w:sz="4" w:space="0" w:color="000000"/>
            </w:tcBorders>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Credit Rating Score</w:t>
            </w:r>
          </w:p>
        </w:tc>
      </w:tr>
      <w:tr w:rsidR="00745CA5" w:rsidRPr="00745CA5" w:rsidTr="00D01EDF">
        <w:trPr>
          <w:trHeight w:val="255"/>
        </w:trPr>
        <w:tc>
          <w:tcPr>
            <w:tcW w:w="801" w:type="pct"/>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1395" w:type="pct"/>
            <w:gridSpan w:val="2"/>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OLS</w:t>
            </w:r>
          </w:p>
        </w:tc>
        <w:tc>
          <w:tcPr>
            <w:tcW w:w="1394" w:type="pct"/>
            <w:gridSpan w:val="2"/>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OLS</w:t>
            </w:r>
          </w:p>
        </w:tc>
        <w:tc>
          <w:tcPr>
            <w:tcW w:w="1410" w:type="pct"/>
            <w:gridSpan w:val="2"/>
            <w:shd w:val="clear" w:color="auto" w:fill="auto"/>
            <w:noWrap/>
            <w:vAlign w:val="center"/>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Ordered Logit</w:t>
            </w:r>
          </w:p>
        </w:tc>
      </w:tr>
      <w:tr w:rsidR="00745CA5" w:rsidRPr="00745CA5" w:rsidTr="00D01EDF">
        <w:trPr>
          <w:trHeight w:val="255"/>
        </w:trPr>
        <w:tc>
          <w:tcPr>
            <w:tcW w:w="801"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Variables</w:t>
            </w: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w:t>
            </w:r>
          </w:p>
        </w:tc>
        <w:tc>
          <w:tcPr>
            <w:tcW w:w="698"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w:t>
            </w: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w:t>
            </w: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w:t>
            </w:r>
          </w:p>
        </w:tc>
        <w:tc>
          <w:tcPr>
            <w:tcW w:w="706"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(5)</w:t>
            </w:r>
          </w:p>
        </w:tc>
        <w:tc>
          <w:tcPr>
            <w:tcW w:w="704"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w:t>
            </w:r>
          </w:p>
        </w:tc>
      </w:tr>
      <w:tr w:rsidR="00745CA5" w:rsidRPr="00745CA5" w:rsidTr="00D01EDF">
        <w:trPr>
          <w:trHeight w:val="255"/>
        </w:trPr>
        <w:tc>
          <w:tcPr>
            <w:tcW w:w="801" w:type="pct"/>
            <w:vMerge w:val="restar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BSDI</w:t>
            </w:r>
          </w:p>
        </w:tc>
        <w:tc>
          <w:tcPr>
            <w:tcW w:w="697"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0.6104*</w:t>
            </w:r>
          </w:p>
        </w:tc>
        <w:tc>
          <w:tcPr>
            <w:tcW w:w="698"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0.6061*</w:t>
            </w:r>
          </w:p>
        </w:tc>
        <w:tc>
          <w:tcPr>
            <w:tcW w:w="697"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6"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0.7613**</w:t>
            </w:r>
          </w:p>
        </w:tc>
        <w:tc>
          <w:tcPr>
            <w:tcW w:w="704" w:type="pct"/>
            <w:tcBorders>
              <w:top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r>
      <w:tr w:rsidR="00D01EDF"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(1.92)</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(1.94)</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(2.08)</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r>
      <w:tr w:rsidR="00D01EDF" w:rsidRPr="00745CA5" w:rsidTr="00D01EDF">
        <w:trPr>
          <w:trHeight w:val="255"/>
        </w:trPr>
        <w:tc>
          <w:tcPr>
            <w:tcW w:w="801" w:type="pct"/>
            <w:vMerge w:val="restart"/>
            <w:shd w:val="clear" w:color="auto" w:fill="auto"/>
            <w:noWrap/>
            <w:vAlign w:val="center"/>
            <w:hideMark/>
          </w:tcPr>
          <w:p w:rsidR="00D01EDF" w:rsidRPr="004D53E2" w:rsidRDefault="00D01EDF" w:rsidP="00D01EDF">
            <w:pPr>
              <w:widowControl/>
              <w:wordWrap/>
              <w:autoSpaceDE/>
              <w:autoSpaceDN/>
              <w:spacing w:after="0" w:line="240" w:lineRule="auto"/>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BG MKT Share</w:t>
            </w: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0.1475</w:t>
            </w: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0.0762</w:t>
            </w:r>
          </w:p>
        </w:tc>
        <w:tc>
          <w:tcPr>
            <w:tcW w:w="706"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0.0072</w:t>
            </w:r>
          </w:p>
        </w:tc>
      </w:tr>
      <w:tr w:rsidR="00D01EDF" w:rsidRPr="00745CA5" w:rsidTr="00D01EDF">
        <w:trPr>
          <w:trHeight w:val="255"/>
        </w:trPr>
        <w:tc>
          <w:tcPr>
            <w:tcW w:w="801" w:type="pct"/>
            <w:vMerge/>
            <w:shd w:val="clear" w:color="auto" w:fill="auto"/>
            <w:noWrap/>
            <w:vAlign w:val="center"/>
            <w:hideMark/>
          </w:tcPr>
          <w:p w:rsidR="00D01EDF" w:rsidRPr="00745CA5" w:rsidRDefault="00D01EDF" w:rsidP="00D01EDF">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(0.17)</w:t>
            </w: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(0.09)</w:t>
            </w:r>
          </w:p>
        </w:tc>
        <w:tc>
          <w:tcPr>
            <w:tcW w:w="706"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(0.01)</w:t>
            </w:r>
          </w:p>
        </w:tc>
      </w:tr>
      <w:tr w:rsidR="00D01EDF" w:rsidRPr="00745CA5" w:rsidTr="00D01EDF">
        <w:trPr>
          <w:trHeight w:val="255"/>
        </w:trPr>
        <w:tc>
          <w:tcPr>
            <w:tcW w:w="801" w:type="pct"/>
            <w:vMerge w:val="restart"/>
            <w:shd w:val="clear" w:color="auto" w:fill="auto"/>
            <w:noWrap/>
            <w:vAlign w:val="center"/>
            <w:hideMark/>
          </w:tcPr>
          <w:p w:rsidR="00D01EDF" w:rsidRPr="004D53E2" w:rsidRDefault="00D01EDF" w:rsidP="00D01EDF">
            <w:pPr>
              <w:widowControl/>
              <w:wordWrap/>
              <w:autoSpaceDE/>
              <w:autoSpaceDN/>
              <w:spacing w:after="0" w:line="240" w:lineRule="auto"/>
              <w:jc w:val="left"/>
              <w:rPr>
                <w:rFonts w:ascii="Times New Roman" w:eastAsia="굴림" w:hAnsi="Times New Roman" w:cs="Times New Roman"/>
                <w:kern w:val="0"/>
                <w:sz w:val="18"/>
                <w:szCs w:val="18"/>
              </w:rPr>
            </w:pPr>
            <w:r>
              <w:rPr>
                <w:rFonts w:ascii="Times New Roman" w:eastAsia="굴림" w:hAnsi="Times New Roman" w:cs="Times New Roman"/>
                <w:kern w:val="0"/>
                <w:sz w:val="18"/>
                <w:szCs w:val="18"/>
              </w:rPr>
              <w:t>ICM Size</w:t>
            </w: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0.7648*</w:t>
            </w: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0.7820*</w:t>
            </w:r>
          </w:p>
        </w:tc>
        <w:tc>
          <w:tcPr>
            <w:tcW w:w="706"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D01EDF" w:rsidRPr="00745CA5" w:rsidRDefault="00D01EDF"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1.0148**</w:t>
            </w:r>
          </w:p>
        </w:tc>
      </w:tr>
      <w:tr w:rsidR="00745CA5"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(1.75)</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(1.83)</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(2.00)</w:t>
            </w:r>
          </w:p>
        </w:tc>
      </w:tr>
      <w:tr w:rsidR="00745CA5"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HHI</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-0.5990</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-0.5156</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-0.9938**</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-0.8956**</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-1.2242**</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-1.0823**</w:t>
            </w:r>
          </w:p>
        </w:tc>
      </w:tr>
      <w:tr w:rsidR="00745CA5"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(-1.47)</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(-1.24)</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(-2.31)</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(-2.00)</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(-2.44)</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(-2.10)</w:t>
            </w:r>
          </w:p>
        </w:tc>
      </w:tr>
      <w:tr w:rsidR="00745CA5"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Size</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-0.1626***</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-0.1620***</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-0.1235***</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-0.1233***</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-0.1343***</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-0.1339***</w:t>
            </w:r>
          </w:p>
        </w:tc>
      </w:tr>
      <w:tr w:rsidR="00745CA5"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(-6.49)</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(-6.47)</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(-5.75)</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(-5.74)</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(-5.30)</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(-5.28)</w:t>
            </w:r>
          </w:p>
        </w:tc>
      </w:tr>
      <w:tr w:rsidR="00745CA5"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Leverage Ratio</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0.2254***</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0.2254***</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0.3643***</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0.3643***</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0.6668***</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0.6667***</w:t>
            </w:r>
          </w:p>
        </w:tc>
      </w:tr>
      <w:tr w:rsidR="00745CA5"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(16.58)</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(16.58)</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(21.16)</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(21.17)</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(14.08)</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(14.09)</w:t>
            </w:r>
          </w:p>
        </w:tc>
      </w:tr>
      <w:tr w:rsidR="00745CA5"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Profitability</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-6.1119***</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-6.1133***</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-7.8620***</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-7.8616***</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-10.4177***</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-10.4180***</w:t>
            </w:r>
          </w:p>
        </w:tc>
      </w:tr>
      <w:tr w:rsidR="00745CA5"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(-39.43)</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(-39.41)</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(-45.67)</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(-45.65)</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(-38.37)</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(-38.35)</w:t>
            </w:r>
          </w:p>
        </w:tc>
      </w:tr>
      <w:tr w:rsidR="00D01EDF"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R&amp;D Intensity</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-2.3388***</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-2.3349***</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-4.0136***</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-4.0071***</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-3.8313***</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-3.8213***</w:t>
            </w:r>
          </w:p>
        </w:tc>
      </w:tr>
      <w:tr w:rsidR="00D01EDF"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(-2.61)</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(-2.61)</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(-4.25)</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(-4.24)</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(-3.51)</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(-3.50)</w:t>
            </w:r>
          </w:p>
        </w:tc>
      </w:tr>
      <w:tr w:rsidR="00D01EDF" w:rsidRPr="00745CA5" w:rsidTr="00D01EDF">
        <w:trPr>
          <w:trHeight w:val="255"/>
        </w:trPr>
        <w:tc>
          <w:tcPr>
            <w:tcW w:w="801" w:type="pct"/>
            <w:vMerge w:val="restar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Risk Free Rate</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0.1222***</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0.1210***</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0.1514***</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0.1497***</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0.1795***</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0.1774***</w:t>
            </w:r>
          </w:p>
        </w:tc>
      </w:tr>
      <w:tr w:rsidR="00D01EDF" w:rsidRPr="00745CA5" w:rsidTr="00D01EDF">
        <w:trPr>
          <w:trHeight w:val="255"/>
        </w:trPr>
        <w:tc>
          <w:tcPr>
            <w:tcW w:w="801" w:type="pct"/>
            <w:vMerge/>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(4.94)</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(4.85)</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(6.29)</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(6.19)</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(6.53)</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(6.47)</w:t>
            </w: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Observations</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15,389</w:t>
            </w: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Year Effect</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Industry Effect</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Firm Effect</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Yes</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No</w:t>
            </w: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R^2</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0.4742</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0.4742</w:t>
            </w: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r>
      <w:tr w:rsidR="00745CA5" w:rsidRPr="00745CA5" w:rsidTr="00D01EDF">
        <w:trPr>
          <w:trHeight w:val="255"/>
        </w:trPr>
        <w:tc>
          <w:tcPr>
            <w:tcW w:w="801" w:type="pct"/>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Within R^2</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0.3619</w:t>
            </w:r>
          </w:p>
        </w:tc>
        <w:tc>
          <w:tcPr>
            <w:tcW w:w="698"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0.3619</w:t>
            </w: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6"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4" w:type="pct"/>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r>
      <w:tr w:rsidR="00745CA5" w:rsidRPr="00745CA5" w:rsidTr="00D01EDF">
        <w:trPr>
          <w:trHeight w:val="255"/>
        </w:trPr>
        <w:tc>
          <w:tcPr>
            <w:tcW w:w="801"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Pseudo R^2</w:t>
            </w: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8"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697"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p>
        </w:tc>
        <w:tc>
          <w:tcPr>
            <w:tcW w:w="706"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0.1672</w:t>
            </w:r>
          </w:p>
        </w:tc>
        <w:tc>
          <w:tcPr>
            <w:tcW w:w="704" w:type="pct"/>
            <w:tcBorders>
              <w:bottom w:val="single" w:sz="4" w:space="0" w:color="000000"/>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굴림" w:hAnsi="Times New Roman" w:cs="Times New Roman"/>
                <w:kern w:val="0"/>
                <w:sz w:val="18"/>
                <w:szCs w:val="18"/>
              </w:rPr>
            </w:pPr>
            <w:r w:rsidRPr="00745CA5">
              <w:rPr>
                <w:rFonts w:ascii="Times New Roman" w:eastAsia="굴림" w:hAnsi="Times New Roman" w:cs="Times New Roman"/>
                <w:kern w:val="0"/>
                <w:sz w:val="18"/>
                <w:szCs w:val="18"/>
              </w:rPr>
              <w:t>0.1672</w:t>
            </w:r>
          </w:p>
        </w:tc>
      </w:tr>
    </w:tbl>
    <w:p w:rsidR="00267B32" w:rsidRDefault="00267B32"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pPr>
    </w:p>
    <w:p w:rsidR="00745CA5" w:rsidRDefault="00745CA5" w:rsidP="003D699C">
      <w:pPr>
        <w:widowControl/>
        <w:wordWrap/>
        <w:autoSpaceDE/>
        <w:autoSpaceDN/>
        <w:rPr>
          <w:rFonts w:ascii="Times New Roman" w:hAnsi="Times New Roman" w:cs="Times New Roman"/>
          <w:szCs w:val="20"/>
        </w:rPr>
        <w:sectPr w:rsidR="00745CA5" w:rsidSect="00745CA5">
          <w:pgSz w:w="11906" w:h="16838"/>
          <w:pgMar w:top="1440" w:right="1440" w:bottom="1440" w:left="1440" w:header="720" w:footer="720" w:gutter="0"/>
          <w:pgNumType w:fmt="numberInDash"/>
          <w:cols w:space="720"/>
          <w:docGrid w:linePitch="360"/>
        </w:sectPr>
      </w:pPr>
    </w:p>
    <w:tbl>
      <w:tblPr>
        <w:tblW w:w="5000" w:type="pct"/>
        <w:tblCellMar>
          <w:left w:w="99" w:type="dxa"/>
          <w:right w:w="99" w:type="dxa"/>
        </w:tblCellMar>
        <w:tblLook w:val="04A0"/>
      </w:tblPr>
      <w:tblGrid>
        <w:gridCol w:w="1958"/>
        <w:gridCol w:w="1334"/>
        <w:gridCol w:w="1139"/>
        <w:gridCol w:w="1232"/>
        <w:gridCol w:w="1234"/>
        <w:gridCol w:w="1232"/>
        <w:gridCol w:w="1231"/>
        <w:gridCol w:w="1229"/>
        <w:gridCol w:w="1231"/>
        <w:gridCol w:w="1172"/>
        <w:gridCol w:w="1164"/>
      </w:tblGrid>
      <w:tr w:rsidR="00745CA5" w:rsidRPr="00745CA5" w:rsidTr="00871549">
        <w:trPr>
          <w:trHeight w:val="330"/>
        </w:trPr>
        <w:tc>
          <w:tcPr>
            <w:tcW w:w="5000" w:type="pct"/>
            <w:gridSpan w:val="11"/>
            <w:tcBorders>
              <w:top w:val="nil"/>
              <w:left w:val="nil"/>
              <w:bottom w:val="nil"/>
            </w:tcBorders>
            <w:shd w:val="clear" w:color="auto" w:fill="auto"/>
            <w:noWrap/>
            <w:vAlign w:val="bottom"/>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b/>
                <w:color w:val="000000"/>
                <w:kern w:val="0"/>
                <w:sz w:val="16"/>
                <w:szCs w:val="16"/>
              </w:rPr>
            </w:pPr>
            <w:r w:rsidRPr="00745CA5">
              <w:rPr>
                <w:rFonts w:ascii="Times New Roman" w:eastAsia="맑은 고딕" w:hAnsi="Times New Roman" w:cs="Times New Roman"/>
                <w:b/>
                <w:color w:val="000000"/>
                <w:kern w:val="0"/>
                <w:sz w:val="16"/>
                <w:szCs w:val="16"/>
              </w:rPr>
              <w:lastRenderedPageBreak/>
              <w:t>Table 10. The Impact of Member Firms’ Relative Internal Capital Market Size on Non-member Firms’ Financial Distress Risk: a Matching Sample Analysis</w:t>
            </w:r>
          </w:p>
        </w:tc>
      </w:tr>
      <w:tr w:rsidR="00745CA5" w:rsidRPr="00745CA5" w:rsidTr="00871549">
        <w:trPr>
          <w:trHeight w:val="330"/>
        </w:trPr>
        <w:tc>
          <w:tcPr>
            <w:tcW w:w="5000" w:type="pct"/>
            <w:gridSpan w:val="11"/>
            <w:tcBorders>
              <w:top w:val="nil"/>
              <w:left w:val="nil"/>
              <w:bottom w:val="nil"/>
            </w:tcBorders>
            <w:shd w:val="clear" w:color="auto" w:fill="auto"/>
            <w:noWrap/>
            <w:vAlign w:val="bottom"/>
            <w:hideMark/>
          </w:tcPr>
          <w:p w:rsidR="00745CA5" w:rsidRPr="00745CA5" w:rsidRDefault="00745CA5" w:rsidP="00D01EDF">
            <w:pPr>
              <w:widowControl/>
              <w:wordWrap/>
              <w:autoSpaceDE/>
              <w:autoSpaceDN/>
              <w:spacing w:after="0" w:line="240" w:lineRule="auto"/>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This table reports results of a matching sample analysis that examine the impact of member firms’ relative internal capital market size on financial distress risk of a matched sample of non-member firms. The non-member firms in the matched sample are required to have similar market shares as their matching member firms which are required to be the only member firm within their specific industry (6 digit KSIC code). Then the financial distress measures of the matched non-member firms are regressed on the relative internal market size of their matching member firms (</w:t>
            </w:r>
            <m:oMath>
              <m:r>
                <m:rPr>
                  <m:sty m:val="p"/>
                </m:rPr>
                <w:rPr>
                  <w:rFonts w:ascii="Cambria Math" w:hAnsi="Cambria Math" w:cs="Times New Roman"/>
                  <w:sz w:val="16"/>
                  <w:szCs w:val="16"/>
                </w:rPr>
                <m:t>w</m:t>
              </m:r>
            </m:oMath>
            <w:r w:rsidRPr="00745CA5">
              <w:rPr>
                <w:rFonts w:ascii="Times New Roman" w:eastAsia="맑은 고딕" w:hAnsi="Times New Roman" w:cs="Times New Roman"/>
                <w:sz w:val="16"/>
                <w:szCs w:val="16"/>
              </w:rPr>
              <w:t xml:space="preserve"> in Equation (2)) and other control variables. Panel A reports the results of three widely used balancing tests suggested in the literature. First, we compare the sample means of market share between the sample of matching member firm and matched non-member firm based on student t test; Second, we present the distribution support of market share for the two samples; Third, we perform a two-sample Kolmogorov-Smirnov test (K-S test) for equality of market share’s distribution functions across the two samples. Panel B reports the regression results that examine the impact of relative internal market size. The results based on OLS regressions are shown in the first two columns and the results based on </w:t>
            </w:r>
            <w:proofErr w:type="spellStart"/>
            <w:r w:rsidRPr="00745CA5">
              <w:rPr>
                <w:rFonts w:ascii="Times New Roman" w:eastAsia="맑은 고딕" w:hAnsi="Times New Roman" w:cs="Times New Roman"/>
                <w:sz w:val="16"/>
                <w:szCs w:val="16"/>
              </w:rPr>
              <w:t>Fama</w:t>
            </w:r>
            <w:proofErr w:type="spellEnd"/>
            <w:r w:rsidRPr="00745CA5">
              <w:rPr>
                <w:rFonts w:ascii="Times New Roman" w:eastAsia="맑은 고딕" w:hAnsi="Times New Roman" w:cs="Times New Roman"/>
                <w:sz w:val="16"/>
                <w:szCs w:val="16"/>
              </w:rPr>
              <w:t xml:space="preserve">-Macbeth two stage cross-sectional regressions are shown in the last two columns. </w:t>
            </w:r>
            <w:r w:rsidRPr="00745CA5">
              <w:rPr>
                <w:rFonts w:ascii="Times New Roman" w:eastAsia="굴림" w:hAnsi="Times New Roman" w:cs="Times New Roman"/>
                <w:kern w:val="0"/>
                <w:sz w:val="16"/>
                <w:szCs w:val="16"/>
              </w:rPr>
              <w:t>In order to measure firm’s financial distress risk, accounting information based KM-score (Multiple discri</w:t>
            </w:r>
            <w:r w:rsidR="00D01EDF">
              <w:rPr>
                <w:rFonts w:ascii="Times New Roman" w:eastAsia="굴림" w:hAnsi="Times New Roman" w:cs="Times New Roman"/>
                <w:kern w:val="0"/>
                <w:sz w:val="16"/>
                <w:szCs w:val="16"/>
              </w:rPr>
              <w:t>minant analysis) and KL-score (L</w:t>
            </w:r>
            <w:r w:rsidRPr="00745CA5">
              <w:rPr>
                <w:rFonts w:ascii="Times New Roman" w:eastAsia="굴림" w:hAnsi="Times New Roman" w:cs="Times New Roman"/>
                <w:kern w:val="0"/>
                <w:sz w:val="16"/>
                <w:szCs w:val="16"/>
              </w:rPr>
              <w:t xml:space="preserve">ogit regression analysis) are used. We also control for variables that are known to be determinants of firm’s financial distress risk by previous studies, including: the </w:t>
            </w:r>
            <w:proofErr w:type="spellStart"/>
            <w:r w:rsidRPr="00745CA5">
              <w:rPr>
                <w:rFonts w:ascii="Times New Roman" w:eastAsia="굴림" w:hAnsi="Times New Roman" w:cs="Times New Roman"/>
                <w:kern w:val="0"/>
                <w:sz w:val="16"/>
                <w:szCs w:val="16"/>
              </w:rPr>
              <w:t>Herfindahl</w:t>
            </w:r>
            <w:proofErr w:type="spellEnd"/>
            <w:r w:rsidRPr="00745CA5">
              <w:rPr>
                <w:rFonts w:ascii="Times New Roman" w:eastAsia="굴림" w:hAnsi="Times New Roman" w:cs="Times New Roman"/>
                <w:kern w:val="0"/>
                <w:sz w:val="16"/>
                <w:szCs w:val="16"/>
              </w:rPr>
              <w:t xml:space="preserve">-Hirschman index (HHI), size, leverage, profitability, R&amp;D intensity and risk free rate. For more detailed variable definition, please refer to Section </w:t>
            </w:r>
            <w:r w:rsidR="00886B05">
              <w:rPr>
                <w:rFonts w:ascii="Times New Roman" w:eastAsia="굴림" w:hAnsi="Times New Roman" w:cs="Times New Roman"/>
                <w:kern w:val="0"/>
                <w:sz w:val="16"/>
                <w:szCs w:val="16"/>
              </w:rPr>
              <w:fldChar w:fldCharType="begin"/>
            </w:r>
            <w:r w:rsidR="00D01EDF">
              <w:rPr>
                <w:rFonts w:ascii="Times New Roman" w:eastAsia="SimSun" w:hAnsi="Times New Roman" w:cs="Times New Roman"/>
                <w:kern w:val="0"/>
                <w:sz w:val="16"/>
                <w:szCs w:val="16"/>
                <w:lang w:eastAsia="zh-CN"/>
              </w:rPr>
              <w:instrText xml:space="preserve"> </w:instrText>
            </w:r>
            <w:r w:rsidR="00D01EDF">
              <w:rPr>
                <w:rFonts w:ascii="Times New Roman" w:eastAsia="SimSun" w:hAnsi="Times New Roman" w:cs="Times New Roman" w:hint="eastAsia"/>
                <w:kern w:val="0"/>
                <w:sz w:val="16"/>
                <w:szCs w:val="16"/>
                <w:lang w:eastAsia="zh-CN"/>
              </w:rPr>
              <w:instrText>= 3 \* ROMAN</w:instrText>
            </w:r>
            <w:r w:rsidR="00D01EDF">
              <w:rPr>
                <w:rFonts w:ascii="Times New Roman" w:eastAsia="SimSun" w:hAnsi="Times New Roman" w:cs="Times New Roman"/>
                <w:kern w:val="0"/>
                <w:sz w:val="16"/>
                <w:szCs w:val="16"/>
                <w:lang w:eastAsia="zh-CN"/>
              </w:rPr>
              <w:instrText xml:space="preserve"> </w:instrText>
            </w:r>
            <w:r w:rsidR="00886B05">
              <w:rPr>
                <w:rFonts w:ascii="Times New Roman" w:eastAsia="굴림" w:hAnsi="Times New Roman" w:cs="Times New Roman"/>
                <w:kern w:val="0"/>
                <w:sz w:val="16"/>
                <w:szCs w:val="16"/>
              </w:rPr>
              <w:fldChar w:fldCharType="separate"/>
            </w:r>
            <w:r w:rsidR="00D01EDF">
              <w:rPr>
                <w:rFonts w:ascii="Times New Roman" w:eastAsia="SimSun" w:hAnsi="Times New Roman" w:cs="Times New Roman"/>
                <w:noProof/>
                <w:kern w:val="0"/>
                <w:sz w:val="16"/>
                <w:szCs w:val="16"/>
                <w:lang w:eastAsia="zh-CN"/>
              </w:rPr>
              <w:t>III</w:t>
            </w:r>
            <w:r w:rsidR="00886B05">
              <w:rPr>
                <w:rFonts w:ascii="Times New Roman" w:eastAsia="굴림" w:hAnsi="Times New Roman" w:cs="Times New Roman"/>
                <w:kern w:val="0"/>
                <w:sz w:val="16"/>
                <w:szCs w:val="16"/>
              </w:rPr>
              <w:fldChar w:fldCharType="end"/>
            </w:r>
            <w:r w:rsidRPr="00745CA5">
              <w:rPr>
                <w:rFonts w:ascii="Times New Roman" w:eastAsia="굴림" w:hAnsi="Times New Roman" w:cs="Times New Roman"/>
                <w:kern w:val="0"/>
                <w:sz w:val="16"/>
                <w:szCs w:val="16"/>
              </w:rPr>
              <w:t xml:space="preserve">. Numbers in the parentheses are firm level clustered robust t statistic. *, **, and *** denote significance at 10%, 5%, and 1% level, respectively. The sample period ranges from 2001 to 2014. All firms belong to the financial industry or the utility industry </w:t>
            </w:r>
            <w:r w:rsidR="00D01EDF">
              <w:rPr>
                <w:rFonts w:ascii="Times New Roman" w:eastAsia="굴림" w:hAnsi="Times New Roman" w:cs="Times New Roman"/>
                <w:kern w:val="0"/>
                <w:sz w:val="16"/>
                <w:szCs w:val="16"/>
              </w:rPr>
              <w:t>is</w:t>
            </w:r>
            <w:r w:rsidRPr="00745CA5">
              <w:rPr>
                <w:rFonts w:ascii="Times New Roman" w:eastAsia="굴림" w:hAnsi="Times New Roman" w:cs="Times New Roman"/>
                <w:kern w:val="0"/>
                <w:sz w:val="16"/>
                <w:szCs w:val="16"/>
              </w:rPr>
              <w:t xml:space="preserve"> excluded from the sample.</w:t>
            </w:r>
          </w:p>
        </w:tc>
      </w:tr>
      <w:tr w:rsidR="00745CA5" w:rsidRPr="00745CA5" w:rsidTr="00871549">
        <w:trPr>
          <w:trHeight w:val="330"/>
        </w:trPr>
        <w:tc>
          <w:tcPr>
            <w:tcW w:w="5000" w:type="pct"/>
            <w:gridSpan w:val="11"/>
            <w:tcBorders>
              <w:top w:val="single" w:sz="4" w:space="0" w:color="auto"/>
              <w:left w:val="nil"/>
              <w:bottom w:val="nil"/>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bCs/>
                <w:color w:val="000000"/>
                <w:kern w:val="0"/>
                <w:sz w:val="16"/>
                <w:szCs w:val="16"/>
              </w:rPr>
            </w:pPr>
            <w:r w:rsidRPr="00745CA5">
              <w:rPr>
                <w:rFonts w:ascii="Times New Roman" w:eastAsia="맑은 고딕" w:hAnsi="Times New Roman" w:cs="Times New Roman"/>
                <w:bCs/>
                <w:color w:val="000000"/>
                <w:kern w:val="0"/>
                <w:sz w:val="16"/>
                <w:szCs w:val="16"/>
              </w:rPr>
              <w:t>Panel A: Balancing Test</w:t>
            </w:r>
          </w:p>
        </w:tc>
      </w:tr>
      <w:tr w:rsidR="00745CA5" w:rsidRPr="00745CA5" w:rsidTr="00745CA5">
        <w:trPr>
          <w:trHeight w:val="330"/>
        </w:trPr>
        <w:tc>
          <w:tcPr>
            <w:tcW w:w="715"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Variable</w:t>
            </w:r>
          </w:p>
        </w:tc>
        <w:tc>
          <w:tcPr>
            <w:tcW w:w="473"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397"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w:t>
            </w:r>
          </w:p>
        </w:tc>
        <w:tc>
          <w:tcPr>
            <w:tcW w:w="433"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Mean</w:t>
            </w:r>
          </w:p>
        </w:tc>
        <w:tc>
          <w:tcPr>
            <w:tcW w:w="434"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0.05</w:t>
            </w:r>
          </w:p>
        </w:tc>
        <w:tc>
          <w:tcPr>
            <w:tcW w:w="433"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0.25</w:t>
            </w:r>
          </w:p>
        </w:tc>
        <w:tc>
          <w:tcPr>
            <w:tcW w:w="433"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Median</w:t>
            </w:r>
          </w:p>
        </w:tc>
        <w:tc>
          <w:tcPr>
            <w:tcW w:w="432"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0.75</w:t>
            </w:r>
          </w:p>
        </w:tc>
        <w:tc>
          <w:tcPr>
            <w:tcW w:w="432" w:type="pct"/>
            <w:vMerge w:val="restart"/>
            <w:tcBorders>
              <w:top w:val="nil"/>
              <w:left w:val="nil"/>
              <w:bottom w:val="single" w:sz="4" w:space="0" w:color="auto"/>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0.95</w:t>
            </w:r>
          </w:p>
        </w:tc>
        <w:tc>
          <w:tcPr>
            <w:tcW w:w="817" w:type="pct"/>
            <w:gridSpan w:val="2"/>
            <w:tcBorders>
              <w:top w:val="nil"/>
              <w:left w:val="nil"/>
              <w:bottom w:val="nil"/>
              <w:right w:val="nil"/>
            </w:tcBorders>
            <w:shd w:val="clear" w:color="auto" w:fill="auto"/>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P-value</w:t>
            </w:r>
          </w:p>
        </w:tc>
      </w:tr>
      <w:tr w:rsidR="00745CA5" w:rsidRPr="00745CA5" w:rsidTr="00745CA5">
        <w:trPr>
          <w:trHeight w:val="330"/>
        </w:trPr>
        <w:tc>
          <w:tcPr>
            <w:tcW w:w="715"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73"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397"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3"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4"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3"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3"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2"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2" w:type="pct"/>
            <w:vMerge/>
            <w:tcBorders>
              <w:top w:val="nil"/>
              <w:left w:val="nil"/>
              <w:bottom w:val="single" w:sz="4" w:space="0" w:color="auto"/>
              <w:right w:val="nil"/>
            </w:tcBorders>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10"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t test</w:t>
            </w:r>
          </w:p>
        </w:tc>
        <w:tc>
          <w:tcPr>
            <w:tcW w:w="407"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KS test</w:t>
            </w:r>
          </w:p>
        </w:tc>
      </w:tr>
      <w:tr w:rsidR="00745CA5" w:rsidRPr="00745CA5" w:rsidTr="00745CA5">
        <w:trPr>
          <w:trHeight w:val="330"/>
        </w:trPr>
        <w:tc>
          <w:tcPr>
            <w:tcW w:w="715" w:type="pct"/>
            <w:tcBorders>
              <w:top w:val="nil"/>
              <w:left w:val="nil"/>
              <w:bottom w:val="nil"/>
              <w:right w:val="nil"/>
            </w:tcBorders>
            <w:shd w:val="clear" w:color="000000" w:fill="FFFFFF"/>
            <w:noWrap/>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Market Share</w:t>
            </w:r>
          </w:p>
        </w:tc>
        <w:tc>
          <w:tcPr>
            <w:tcW w:w="473" w:type="pct"/>
            <w:tcBorders>
              <w:top w:val="nil"/>
              <w:left w:val="nil"/>
              <w:bottom w:val="nil"/>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Non-member</w:t>
            </w:r>
          </w:p>
        </w:tc>
        <w:tc>
          <w:tcPr>
            <w:tcW w:w="397" w:type="pct"/>
            <w:tcBorders>
              <w:top w:val="nil"/>
              <w:left w:val="nil"/>
              <w:bottom w:val="nil"/>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0.0624705</w:t>
            </w:r>
          </w:p>
        </w:tc>
        <w:tc>
          <w:tcPr>
            <w:tcW w:w="434"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0.0050922</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0.0146961</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0.0373232</w:t>
            </w: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0.0784046</w:t>
            </w: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0.2211507</w:t>
            </w:r>
          </w:p>
        </w:tc>
        <w:tc>
          <w:tcPr>
            <w:tcW w:w="410" w:type="pct"/>
            <w:tcBorders>
              <w:top w:val="nil"/>
              <w:left w:val="nil"/>
              <w:bottom w:val="nil"/>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0.96</w:t>
            </w:r>
          </w:p>
        </w:tc>
        <w:tc>
          <w:tcPr>
            <w:tcW w:w="407" w:type="pct"/>
            <w:tcBorders>
              <w:top w:val="nil"/>
              <w:left w:val="nil"/>
              <w:bottom w:val="nil"/>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1.00</w:t>
            </w:r>
          </w:p>
        </w:tc>
      </w:tr>
      <w:tr w:rsidR="00745CA5" w:rsidRPr="00745CA5" w:rsidTr="00745CA5">
        <w:trPr>
          <w:trHeight w:val="330"/>
        </w:trPr>
        <w:tc>
          <w:tcPr>
            <w:tcW w:w="715" w:type="pct"/>
            <w:tcBorders>
              <w:top w:val="nil"/>
              <w:left w:val="nil"/>
              <w:bottom w:val="single" w:sz="4" w:space="0" w:color="auto"/>
              <w:right w:val="nil"/>
            </w:tcBorders>
            <w:shd w:val="clear" w:color="000000" w:fill="FFFFFF"/>
            <w:noWrap/>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473" w:type="pct"/>
            <w:tcBorders>
              <w:top w:val="nil"/>
              <w:left w:val="nil"/>
              <w:bottom w:val="single" w:sz="4" w:space="0" w:color="auto"/>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Member</w:t>
            </w:r>
          </w:p>
        </w:tc>
        <w:tc>
          <w:tcPr>
            <w:tcW w:w="397" w:type="pct"/>
            <w:tcBorders>
              <w:top w:val="nil"/>
              <w:left w:val="nil"/>
              <w:bottom w:val="single" w:sz="4" w:space="0" w:color="auto"/>
              <w:right w:val="nil"/>
            </w:tcBorders>
            <w:shd w:val="clear" w:color="auto" w:fill="auto"/>
            <w:noWrap/>
            <w:vAlign w:val="center"/>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0.0622563</w:t>
            </w:r>
          </w:p>
        </w:tc>
        <w:tc>
          <w:tcPr>
            <w:tcW w:w="434"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0.0051235</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0.0142648</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0.037352</w:t>
            </w:r>
          </w:p>
        </w:tc>
        <w:tc>
          <w:tcPr>
            <w:tcW w:w="432"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0.0757235</w:t>
            </w:r>
          </w:p>
        </w:tc>
        <w:tc>
          <w:tcPr>
            <w:tcW w:w="432"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0.2138849</w:t>
            </w:r>
          </w:p>
        </w:tc>
        <w:tc>
          <w:tcPr>
            <w:tcW w:w="410"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407"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r>
      <w:tr w:rsidR="00745CA5" w:rsidRPr="00745CA5" w:rsidTr="00745CA5">
        <w:trPr>
          <w:trHeight w:val="330"/>
        </w:trPr>
        <w:tc>
          <w:tcPr>
            <w:tcW w:w="715" w:type="pct"/>
            <w:tcBorders>
              <w:top w:val="single" w:sz="4" w:space="0" w:color="auto"/>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bCs/>
                <w:color w:val="000000"/>
                <w:kern w:val="0"/>
                <w:sz w:val="16"/>
                <w:szCs w:val="16"/>
              </w:rPr>
            </w:pPr>
            <w:r w:rsidRPr="00745CA5">
              <w:rPr>
                <w:rFonts w:ascii="Times New Roman" w:eastAsia="맑은 고딕" w:hAnsi="Times New Roman" w:cs="Times New Roman"/>
                <w:bCs/>
                <w:color w:val="000000"/>
                <w:kern w:val="0"/>
                <w:sz w:val="16"/>
                <w:szCs w:val="16"/>
              </w:rPr>
              <w:t>Panel B: Regression Results</w:t>
            </w:r>
          </w:p>
        </w:tc>
        <w:tc>
          <w:tcPr>
            <w:tcW w:w="1737" w:type="pct"/>
            <w:gridSpan w:val="4"/>
            <w:tcBorders>
              <w:top w:val="single" w:sz="4" w:space="0" w:color="auto"/>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OLS</w:t>
            </w:r>
          </w:p>
        </w:tc>
        <w:tc>
          <w:tcPr>
            <w:tcW w:w="433" w:type="pct"/>
            <w:tcBorders>
              <w:top w:val="single" w:sz="4" w:space="0" w:color="auto"/>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433" w:type="pct"/>
            <w:tcBorders>
              <w:top w:val="single" w:sz="4" w:space="0" w:color="auto"/>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1682" w:type="pct"/>
            <w:gridSpan w:val="4"/>
            <w:tcBorders>
              <w:top w:val="single" w:sz="4" w:space="0" w:color="auto"/>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roofErr w:type="spellStart"/>
            <w:r w:rsidRPr="00745CA5">
              <w:rPr>
                <w:rFonts w:ascii="Times New Roman" w:eastAsia="맑은 고딕" w:hAnsi="Times New Roman" w:cs="Times New Roman"/>
                <w:color w:val="000000"/>
                <w:kern w:val="0"/>
                <w:sz w:val="16"/>
                <w:szCs w:val="16"/>
              </w:rPr>
              <w:t>Fama</w:t>
            </w:r>
            <w:proofErr w:type="spellEnd"/>
            <w:r w:rsidRPr="00745CA5">
              <w:rPr>
                <w:rFonts w:ascii="Times New Roman" w:eastAsia="맑은 고딕" w:hAnsi="Times New Roman" w:cs="Times New Roman"/>
                <w:color w:val="000000"/>
                <w:kern w:val="0"/>
                <w:sz w:val="16"/>
                <w:szCs w:val="16"/>
              </w:rPr>
              <w:t>-Macbeth</w:t>
            </w:r>
          </w:p>
        </w:tc>
      </w:tr>
      <w:tr w:rsidR="00745CA5" w:rsidRPr="00745CA5" w:rsidTr="00745CA5">
        <w:trPr>
          <w:trHeight w:val="330"/>
        </w:trPr>
        <w:tc>
          <w:tcPr>
            <w:tcW w:w="715"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VARIABLES</w:t>
            </w:r>
          </w:p>
        </w:tc>
        <w:tc>
          <w:tcPr>
            <w:tcW w:w="870"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KL-score</w:t>
            </w:r>
          </w:p>
        </w:tc>
        <w:tc>
          <w:tcPr>
            <w:tcW w:w="867"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KM-score</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865"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KL-score</w:t>
            </w:r>
          </w:p>
        </w:tc>
        <w:tc>
          <w:tcPr>
            <w:tcW w:w="817"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KM-score</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m:oMathPara>
              <m:oMathParaPr>
                <m:jc m:val="left"/>
              </m:oMathParaPr>
              <m:oMath>
                <m:r>
                  <m:rPr>
                    <m:sty m:val="p"/>
                  </m:rPr>
                  <w:rPr>
                    <w:rFonts w:ascii="Cambria Math" w:hAnsi="Cambria Math" w:cs="Times New Roman"/>
                    <w:sz w:val="16"/>
                    <w:szCs w:val="16"/>
                  </w:rPr>
                  <m:t>w</m:t>
                </m:r>
              </m:oMath>
            </m:oMathPara>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7.2226*</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11.6504*</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2.9492 </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4.1528*</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(1.67)</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1.94)</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(1.57)</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1.86)</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HHI</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-4.7131*</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6.8110**</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-0.7996 </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 xml:space="preserve">0.6898 </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(-1.86)</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1.97)</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(-1.11)</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0.82)</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Log Sales</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-0.8006***</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0.9265***</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-0.3542***</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0.3836***</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(-5.63)</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4.36)</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(-6.11)</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4.83)</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Leverage</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0.1919***</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0.0092956</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0.6554***</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0.9471***</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(4.85)</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0.80)</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(11.55)</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13.05)</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Profit Margin</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-2.9112***</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3.9874***</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-2.0004***</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2.4136***</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(-3.47)</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3.26)</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(-3.03)</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3.04)</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R&amp;D Intensity</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-12.5747*</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17.4221**</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5.1512 </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7.2075 </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(-1.84)</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w:t>
            </w:r>
            <w:r w:rsidR="00D01EDF">
              <w:rPr>
                <w:rFonts w:ascii="Times New Roman" w:eastAsia="맑은 고딕" w:hAnsi="Times New Roman" w:cs="Times New Roman"/>
                <w:color w:val="000000"/>
                <w:kern w:val="0"/>
                <w:sz w:val="16"/>
                <w:szCs w:val="16"/>
              </w:rPr>
              <w:t>-</w:t>
            </w:r>
            <w:r w:rsidRPr="00745CA5">
              <w:rPr>
                <w:rFonts w:ascii="Times New Roman" w:eastAsia="맑은 고딕" w:hAnsi="Times New Roman" w:cs="Times New Roman"/>
                <w:color w:val="000000"/>
                <w:kern w:val="0"/>
                <w:sz w:val="16"/>
                <w:szCs w:val="16"/>
              </w:rPr>
              <w:t>2.11)</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(0.97)</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0.95)</w:t>
            </w: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lastRenderedPageBreak/>
              <w:t>Risk Free Rate</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0.0106</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0.1002</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10"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07"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(0.07)</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0.47)</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32"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10"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407"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r>
      <w:tr w:rsidR="00745CA5" w:rsidRPr="00745CA5" w:rsidTr="00745CA5">
        <w:trPr>
          <w:trHeight w:val="330"/>
        </w:trPr>
        <w:tc>
          <w:tcPr>
            <w:tcW w:w="715" w:type="pct"/>
            <w:vMerge w:val="restar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Constant</w:t>
            </w: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7.3688***</w:t>
            </w:r>
          </w:p>
        </w:tc>
        <w:tc>
          <w:tcPr>
            <w:tcW w:w="86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9.8869***</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1.1364 </w:t>
            </w:r>
          </w:p>
        </w:tc>
        <w:tc>
          <w:tcPr>
            <w:tcW w:w="817"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0.3681 </w:t>
            </w:r>
          </w:p>
        </w:tc>
      </w:tr>
      <w:tr w:rsidR="00745CA5" w:rsidRPr="00745CA5" w:rsidTr="00745CA5">
        <w:trPr>
          <w:trHeight w:val="330"/>
        </w:trPr>
        <w:tc>
          <w:tcPr>
            <w:tcW w:w="715" w:type="pct"/>
            <w:vMerge/>
            <w:tcBorders>
              <w:left w:val="nil"/>
              <w:bottom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p>
        </w:tc>
        <w:tc>
          <w:tcPr>
            <w:tcW w:w="870"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(4.11)</w:t>
            </w:r>
          </w:p>
        </w:tc>
        <w:tc>
          <w:tcPr>
            <w:tcW w:w="86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3.72)</w:t>
            </w: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(1.68)</w:t>
            </w:r>
          </w:p>
        </w:tc>
        <w:tc>
          <w:tcPr>
            <w:tcW w:w="817" w:type="pct"/>
            <w:gridSpan w:val="2"/>
            <w:tcBorders>
              <w:top w:val="nil"/>
              <w:left w:val="nil"/>
              <w:bottom w:val="nil"/>
              <w:right w:val="nil"/>
            </w:tcBorders>
            <w:shd w:val="clear" w:color="auto" w:fill="auto"/>
            <w:noWrap/>
            <w:vAlign w:val="bottom"/>
            <w:hideMark/>
          </w:tcPr>
          <w:p w:rsidR="00745CA5" w:rsidRPr="00745CA5" w:rsidRDefault="00D01EDF"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w:t>
            </w:r>
            <w:r w:rsidR="00745CA5" w:rsidRPr="00745CA5">
              <w:rPr>
                <w:rFonts w:ascii="Times New Roman" w:eastAsia="맑은 고딕" w:hAnsi="Times New Roman" w:cs="Times New Roman"/>
                <w:color w:val="000000"/>
                <w:kern w:val="0"/>
                <w:sz w:val="16"/>
                <w:szCs w:val="16"/>
              </w:rPr>
              <w:t>0.41)</w:t>
            </w:r>
          </w:p>
        </w:tc>
      </w:tr>
      <w:tr w:rsidR="00745CA5" w:rsidRPr="00745CA5" w:rsidTr="00745CA5">
        <w:trPr>
          <w:trHeight w:val="330"/>
        </w:trPr>
        <w:tc>
          <w:tcPr>
            <w:tcW w:w="715" w:type="pct"/>
            <w:tcBorders>
              <w:top w:val="nil"/>
              <w:left w:val="nil"/>
              <w:bottom w:val="nil"/>
              <w:right w:val="nil"/>
            </w:tcBorders>
            <w:shd w:val="clear" w:color="auto" w:fill="auto"/>
            <w:noWrap/>
            <w:vAlign w:val="center"/>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 xml:space="preserve">Year </w:t>
            </w:r>
            <w:r w:rsidRPr="00745CA5">
              <w:rPr>
                <w:rFonts w:ascii="Times New Roman" w:eastAsia="맑은 고딕" w:hAnsi="Times New Roman" w:cs="Times New Roman"/>
                <w:color w:val="000000"/>
                <w:kern w:val="0"/>
                <w:sz w:val="16"/>
                <w:szCs w:val="16"/>
              </w:rPr>
              <w:t>Effect</w:t>
            </w:r>
          </w:p>
        </w:tc>
        <w:tc>
          <w:tcPr>
            <w:tcW w:w="870"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Yes</w:t>
            </w:r>
          </w:p>
        </w:tc>
        <w:tc>
          <w:tcPr>
            <w:tcW w:w="867"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Yes</w:t>
            </w:r>
          </w:p>
        </w:tc>
        <w:tc>
          <w:tcPr>
            <w:tcW w:w="433" w:type="pct"/>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No</w:t>
            </w:r>
          </w:p>
        </w:tc>
        <w:tc>
          <w:tcPr>
            <w:tcW w:w="817"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No</w:t>
            </w:r>
          </w:p>
        </w:tc>
      </w:tr>
      <w:tr w:rsidR="00745CA5" w:rsidRPr="00745CA5" w:rsidTr="00745CA5">
        <w:trPr>
          <w:trHeight w:val="330"/>
        </w:trPr>
        <w:tc>
          <w:tcPr>
            <w:tcW w:w="715" w:type="pct"/>
            <w:tcBorders>
              <w:top w:val="nil"/>
              <w:left w:val="nil"/>
              <w:bottom w:val="nil"/>
              <w:right w:val="nil"/>
            </w:tcBorders>
            <w:shd w:val="clear" w:color="auto" w:fill="auto"/>
            <w:noWrap/>
            <w:vAlign w:val="center"/>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 xml:space="preserve">Industry </w:t>
            </w:r>
            <w:r w:rsidRPr="00745CA5">
              <w:rPr>
                <w:rFonts w:ascii="Times New Roman" w:eastAsia="맑은 고딕" w:hAnsi="Times New Roman" w:cs="Times New Roman"/>
                <w:color w:val="000000"/>
                <w:kern w:val="0"/>
                <w:sz w:val="16"/>
                <w:szCs w:val="16"/>
              </w:rPr>
              <w:t>Effect</w:t>
            </w:r>
          </w:p>
        </w:tc>
        <w:tc>
          <w:tcPr>
            <w:tcW w:w="870"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Yes</w:t>
            </w:r>
          </w:p>
        </w:tc>
        <w:tc>
          <w:tcPr>
            <w:tcW w:w="867"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Yes</w:t>
            </w:r>
          </w:p>
        </w:tc>
        <w:tc>
          <w:tcPr>
            <w:tcW w:w="433" w:type="pct"/>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433" w:type="pct"/>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 xml:space="preserve">　</w:t>
            </w:r>
          </w:p>
        </w:tc>
        <w:tc>
          <w:tcPr>
            <w:tcW w:w="865"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No</w:t>
            </w:r>
          </w:p>
        </w:tc>
        <w:tc>
          <w:tcPr>
            <w:tcW w:w="817" w:type="pct"/>
            <w:gridSpan w:val="2"/>
            <w:tcBorders>
              <w:top w:val="nil"/>
              <w:left w:val="nil"/>
              <w:bottom w:val="nil"/>
              <w:right w:val="nil"/>
            </w:tcBorders>
            <w:shd w:val="clear" w:color="auto" w:fill="auto"/>
            <w:noWrap/>
            <w:vAlign w:val="bottom"/>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No</w:t>
            </w:r>
          </w:p>
        </w:tc>
      </w:tr>
      <w:tr w:rsidR="00745CA5" w:rsidRPr="00745CA5" w:rsidTr="00745CA5">
        <w:trPr>
          <w:trHeight w:val="330"/>
        </w:trPr>
        <w:tc>
          <w:tcPr>
            <w:tcW w:w="715" w:type="pct"/>
            <w:tcBorders>
              <w:top w:val="nil"/>
              <w:left w:val="nil"/>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Observations</w:t>
            </w:r>
          </w:p>
        </w:tc>
        <w:tc>
          <w:tcPr>
            <w:tcW w:w="870" w:type="pct"/>
            <w:gridSpan w:val="2"/>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c>
          <w:tcPr>
            <w:tcW w:w="867" w:type="pct"/>
            <w:gridSpan w:val="2"/>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c>
          <w:tcPr>
            <w:tcW w:w="433" w:type="pct"/>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c>
          <w:tcPr>
            <w:tcW w:w="817" w:type="pct"/>
            <w:gridSpan w:val="2"/>
            <w:tcBorders>
              <w:top w:val="nil"/>
              <w:left w:val="nil"/>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710</w:t>
            </w:r>
          </w:p>
        </w:tc>
      </w:tr>
      <w:tr w:rsidR="00745CA5" w:rsidRPr="00745CA5" w:rsidTr="00745CA5">
        <w:trPr>
          <w:trHeight w:val="330"/>
        </w:trPr>
        <w:tc>
          <w:tcPr>
            <w:tcW w:w="715" w:type="pct"/>
            <w:tcBorders>
              <w:top w:val="nil"/>
              <w:left w:val="nil"/>
              <w:bottom w:val="single" w:sz="4" w:space="0" w:color="auto"/>
              <w:right w:val="nil"/>
            </w:tcBorders>
            <w:shd w:val="clear" w:color="auto" w:fill="auto"/>
            <w:noWrap/>
            <w:vAlign w:val="center"/>
            <w:hideMark/>
          </w:tcPr>
          <w:p w:rsidR="00745CA5" w:rsidRPr="00745CA5" w:rsidRDefault="00745CA5" w:rsidP="00745CA5">
            <w:pPr>
              <w:widowControl/>
              <w:wordWrap/>
              <w:autoSpaceDE/>
              <w:autoSpaceDN/>
              <w:spacing w:after="0" w:line="240" w:lineRule="auto"/>
              <w:jc w:val="left"/>
              <w:rPr>
                <w:rFonts w:ascii="Times New Roman" w:eastAsia="맑은 고딕" w:hAnsi="Times New Roman" w:cs="Times New Roman"/>
                <w:color w:val="000000"/>
                <w:kern w:val="0"/>
                <w:sz w:val="16"/>
                <w:szCs w:val="16"/>
              </w:rPr>
            </w:pPr>
            <w:r>
              <w:rPr>
                <w:rFonts w:ascii="Times New Roman" w:eastAsia="맑은 고딕" w:hAnsi="Times New Roman" w:cs="Times New Roman"/>
                <w:color w:val="000000"/>
                <w:kern w:val="0"/>
                <w:sz w:val="16"/>
                <w:szCs w:val="16"/>
              </w:rPr>
              <w:t>R^2</w:t>
            </w:r>
          </w:p>
        </w:tc>
        <w:tc>
          <w:tcPr>
            <w:tcW w:w="870"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0.6719</w:t>
            </w:r>
          </w:p>
        </w:tc>
        <w:tc>
          <w:tcPr>
            <w:tcW w:w="867"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0.5893</w:t>
            </w: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433" w:type="pct"/>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p>
        </w:tc>
        <w:tc>
          <w:tcPr>
            <w:tcW w:w="865"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0.5572</w:t>
            </w:r>
          </w:p>
        </w:tc>
        <w:tc>
          <w:tcPr>
            <w:tcW w:w="817" w:type="pct"/>
            <w:gridSpan w:val="2"/>
            <w:tcBorders>
              <w:top w:val="nil"/>
              <w:left w:val="nil"/>
              <w:bottom w:val="single" w:sz="4" w:space="0" w:color="auto"/>
              <w:right w:val="nil"/>
            </w:tcBorders>
            <w:shd w:val="clear" w:color="auto" w:fill="auto"/>
            <w:noWrap/>
            <w:vAlign w:val="bottom"/>
            <w:hideMark/>
          </w:tcPr>
          <w:p w:rsidR="00745CA5" w:rsidRPr="00745CA5" w:rsidRDefault="00745CA5" w:rsidP="00871549">
            <w:pPr>
              <w:widowControl/>
              <w:wordWrap/>
              <w:autoSpaceDE/>
              <w:autoSpaceDN/>
              <w:spacing w:after="0" w:line="240" w:lineRule="auto"/>
              <w:jc w:val="center"/>
              <w:rPr>
                <w:rFonts w:ascii="Times New Roman" w:eastAsia="맑은 고딕" w:hAnsi="Times New Roman" w:cs="Times New Roman"/>
                <w:color w:val="000000"/>
                <w:kern w:val="0"/>
                <w:sz w:val="16"/>
                <w:szCs w:val="16"/>
              </w:rPr>
            </w:pPr>
            <w:r w:rsidRPr="00745CA5">
              <w:rPr>
                <w:rFonts w:ascii="Times New Roman" w:eastAsia="맑은 고딕" w:hAnsi="Times New Roman" w:cs="Times New Roman"/>
                <w:color w:val="000000"/>
                <w:kern w:val="0"/>
                <w:sz w:val="16"/>
                <w:szCs w:val="16"/>
              </w:rPr>
              <w:t>0.5878</w:t>
            </w:r>
          </w:p>
        </w:tc>
      </w:tr>
    </w:tbl>
    <w:p w:rsidR="00745CA5" w:rsidRPr="00F73808" w:rsidRDefault="00745CA5" w:rsidP="003D699C">
      <w:pPr>
        <w:widowControl/>
        <w:wordWrap/>
        <w:autoSpaceDE/>
        <w:autoSpaceDN/>
        <w:rPr>
          <w:rFonts w:ascii="Times New Roman" w:hAnsi="Times New Roman" w:cs="Times New Roman"/>
          <w:szCs w:val="20"/>
        </w:rPr>
      </w:pPr>
    </w:p>
    <w:sectPr w:rsidR="00745CA5" w:rsidRPr="00F73808" w:rsidSect="00745CA5">
      <w:pgSz w:w="16838" w:h="11906" w:orient="landscape"/>
      <w:pgMar w:top="1440" w:right="1440" w:bottom="1440" w:left="1440" w:header="720" w:footer="720" w:gutter="0"/>
      <w:pgNumType w:fmt="numberInDash"/>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5631" w:rsidRDefault="00715631" w:rsidP="00E644C5">
      <w:pPr>
        <w:spacing w:after="0" w:line="240" w:lineRule="auto"/>
      </w:pPr>
      <w:r>
        <w:separator/>
      </w:r>
    </w:p>
  </w:endnote>
  <w:endnote w:type="continuationSeparator" w:id="0">
    <w:p w:rsidR="00715631" w:rsidRDefault="00715631" w:rsidP="00E644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CA5" w:rsidRDefault="00796CA5">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9686794"/>
      <w:docPartObj>
        <w:docPartGallery w:val="Page Numbers (Bottom of Page)"/>
        <w:docPartUnique/>
      </w:docPartObj>
    </w:sdtPr>
    <w:sdtEndPr>
      <w:rPr>
        <w:noProof/>
        <w:color w:val="000000" w:themeColor="text1"/>
      </w:rPr>
    </w:sdtEndPr>
    <w:sdtContent>
      <w:p w:rsidR="006C7CF4" w:rsidRPr="007A5303" w:rsidRDefault="00886B05">
        <w:pPr>
          <w:pStyle w:val="a8"/>
          <w:jc w:val="center"/>
          <w:rPr>
            <w:color w:val="000000" w:themeColor="text1"/>
          </w:rPr>
        </w:pPr>
        <w:r w:rsidRPr="007A5303">
          <w:rPr>
            <w:color w:val="000000" w:themeColor="text1"/>
          </w:rPr>
          <w:fldChar w:fldCharType="begin"/>
        </w:r>
        <w:r w:rsidR="006C7CF4" w:rsidRPr="007A5303">
          <w:rPr>
            <w:color w:val="000000" w:themeColor="text1"/>
          </w:rPr>
          <w:instrText xml:space="preserve"> PAGE   \* MERGEFORMAT </w:instrText>
        </w:r>
        <w:r w:rsidRPr="007A5303">
          <w:rPr>
            <w:color w:val="000000" w:themeColor="text1"/>
          </w:rPr>
          <w:fldChar w:fldCharType="separate"/>
        </w:r>
        <w:r w:rsidR="00D62D50">
          <w:rPr>
            <w:noProof/>
            <w:color w:val="000000" w:themeColor="text1"/>
          </w:rPr>
          <w:t>- 1 -</w:t>
        </w:r>
        <w:r w:rsidRPr="007A5303">
          <w:rPr>
            <w:noProof/>
            <w:color w:val="000000" w:themeColor="text1"/>
          </w:rPr>
          <w:fldChar w:fldCharType="end"/>
        </w:r>
      </w:p>
    </w:sdtContent>
  </w:sdt>
  <w:p w:rsidR="006C7CF4" w:rsidRDefault="006C7CF4">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CA5" w:rsidRDefault="00796CA5">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5631" w:rsidRDefault="00715631" w:rsidP="00E644C5">
      <w:pPr>
        <w:spacing w:after="0" w:line="240" w:lineRule="auto"/>
      </w:pPr>
      <w:r>
        <w:separator/>
      </w:r>
    </w:p>
  </w:footnote>
  <w:footnote w:type="continuationSeparator" w:id="0">
    <w:p w:rsidR="00715631" w:rsidRDefault="00715631" w:rsidP="00E644C5">
      <w:pPr>
        <w:spacing w:after="0" w:line="240" w:lineRule="auto"/>
      </w:pPr>
      <w:r>
        <w:continuationSeparator/>
      </w:r>
    </w:p>
  </w:footnote>
  <w:footnote w:id="1">
    <w:p w:rsidR="006C7CF4" w:rsidRPr="00063647" w:rsidRDefault="006C7CF4" w:rsidP="00190862">
      <w:pPr>
        <w:spacing w:after="0" w:line="240" w:lineRule="auto"/>
        <w:contextualSpacing/>
        <w:rPr>
          <w:rFonts w:ascii="Times New Roman" w:hAnsi="Times New Roman" w:cs="Times New Roman"/>
          <w:sz w:val="16"/>
          <w:szCs w:val="16"/>
        </w:rPr>
      </w:pPr>
      <w:r w:rsidRPr="00063647">
        <w:rPr>
          <w:rStyle w:val="a4"/>
          <w:rFonts w:ascii="Times New Roman" w:hAnsi="Times New Roman" w:cs="Times New Roman"/>
          <w:sz w:val="16"/>
          <w:szCs w:val="16"/>
        </w:rPr>
        <w:footnoteRef/>
      </w:r>
      <w:r w:rsidRPr="00063647">
        <w:rPr>
          <w:rFonts w:ascii="Times New Roman" w:hAnsi="Times New Roman" w:cs="Times New Roman"/>
          <w:sz w:val="16"/>
          <w:szCs w:val="16"/>
        </w:rPr>
        <w:t xml:space="preserve"> For control-cash flow right disparity and its value implication, see </w:t>
      </w:r>
      <w:proofErr w:type="spellStart"/>
      <w:r w:rsidRPr="00063647">
        <w:rPr>
          <w:rFonts w:ascii="Times New Roman" w:hAnsi="Times New Roman" w:cs="Times New Roman"/>
          <w:sz w:val="16"/>
          <w:szCs w:val="16"/>
        </w:rPr>
        <w:t>Claessens</w:t>
      </w:r>
      <w:proofErr w:type="spellEnd"/>
      <w:r w:rsidRPr="00063647">
        <w:rPr>
          <w:rFonts w:ascii="Times New Roman" w:hAnsi="Times New Roman" w:cs="Times New Roman"/>
          <w:sz w:val="16"/>
          <w:szCs w:val="16"/>
        </w:rPr>
        <w:t xml:space="preserve"> et al. </w:t>
      </w:r>
      <w:r w:rsidRPr="00063647">
        <w:rPr>
          <w:rFonts w:ascii="Times New Roman" w:hAnsi="Times New Roman" w:cs="Times New Roman"/>
          <w:sz w:val="16"/>
          <w:szCs w:val="16"/>
          <w:lang w:val="fr-FR"/>
        </w:rPr>
        <w:t xml:space="preserve">(2000), Claessens et al. (2002), Faccio and Lang (2002), La Porta et al. (2002), Mitton (2002), Nenova (2003), Ferris et al. (2003), Lemmon and Lins (2003), Baek et al. (2004), Lin et al. </w:t>
      </w:r>
      <w:r w:rsidRPr="00063647">
        <w:rPr>
          <w:rFonts w:ascii="Times New Roman" w:hAnsi="Times New Roman" w:cs="Times New Roman"/>
          <w:sz w:val="16"/>
          <w:szCs w:val="16"/>
        </w:rPr>
        <w:t xml:space="preserve">(2011), and Bae et al. (2012). For comparison in firm performance between member and non-member firms, see Khanna and Palepu (2000), Joh (2003), and Bertrand et al. (2008). For the efficiency of internal capital market in business groups, see Park and Shin (1999), </w:t>
      </w:r>
      <w:proofErr w:type="spellStart"/>
      <w:r w:rsidRPr="00063647">
        <w:rPr>
          <w:rFonts w:ascii="Times New Roman" w:hAnsi="Times New Roman" w:cs="Times New Roman"/>
          <w:sz w:val="16"/>
          <w:szCs w:val="16"/>
        </w:rPr>
        <w:t>Gopalan</w:t>
      </w:r>
      <w:proofErr w:type="spellEnd"/>
      <w:r w:rsidRPr="00063647">
        <w:rPr>
          <w:rFonts w:ascii="Times New Roman" w:hAnsi="Times New Roman" w:cs="Times New Roman"/>
          <w:sz w:val="16"/>
          <w:szCs w:val="16"/>
        </w:rPr>
        <w:t xml:space="preserve"> et al. </w:t>
      </w:r>
      <w:r w:rsidRPr="00063647">
        <w:rPr>
          <w:rFonts w:ascii="Times New Roman" w:hAnsi="Times New Roman" w:cs="Times New Roman"/>
          <w:sz w:val="16"/>
          <w:szCs w:val="16"/>
          <w:lang w:val="fr-FR"/>
        </w:rPr>
        <w:t xml:space="preserve">(2007), Lee et al. (2009), Gopalan et al. (2014), Buchuk et al. (2014), Almeida et al. (2015), Bae et al. (2002), Bertrand et al. (2002), Cheung et al. (2006), Baek et al. </w:t>
      </w:r>
      <w:r w:rsidRPr="00063647">
        <w:rPr>
          <w:rFonts w:ascii="Times New Roman" w:hAnsi="Times New Roman" w:cs="Times New Roman"/>
          <w:sz w:val="16"/>
          <w:szCs w:val="16"/>
        </w:rPr>
        <w:t>(2006) and Black et al. (2015).</w:t>
      </w:r>
    </w:p>
  </w:footnote>
  <w:footnote w:id="2">
    <w:p w:rsidR="006C7CF4" w:rsidRPr="00C44EF7" w:rsidRDefault="006C7CF4" w:rsidP="00190862">
      <w:pPr>
        <w:spacing w:after="0" w:line="240" w:lineRule="auto"/>
        <w:contextualSpacing/>
        <w:rPr>
          <w:rFonts w:ascii="Times New Roman" w:hAnsi="Times New Roman" w:cs="Times New Roman"/>
          <w:sz w:val="16"/>
          <w:szCs w:val="16"/>
        </w:rPr>
      </w:pPr>
      <w:r w:rsidRPr="00063647">
        <w:rPr>
          <w:rFonts w:ascii="Times New Roman" w:hAnsi="Times New Roman" w:cs="Times New Roman"/>
          <w:sz w:val="16"/>
          <w:szCs w:val="16"/>
        </w:rPr>
        <w:footnoteRef/>
      </w:r>
      <w:r w:rsidRPr="00063647">
        <w:rPr>
          <w:rFonts w:ascii="Times New Roman" w:hAnsi="Times New Roman" w:cs="Times New Roman"/>
          <w:sz w:val="16"/>
          <w:szCs w:val="16"/>
        </w:rPr>
        <w:t xml:space="preserve"> While we use the term “business group” throughout our study, following </w:t>
      </w:r>
      <w:r w:rsidR="00886B05" w:rsidRPr="00063647">
        <w:rPr>
          <w:rFonts w:ascii="Times New Roman" w:hAnsi="Times New Roman" w:cs="Times New Roman"/>
          <w:sz w:val="16"/>
          <w:szCs w:val="16"/>
        </w:rPr>
        <w:fldChar w:fldCharType="begin"/>
      </w:r>
      <w:r w:rsidRPr="00063647">
        <w:rPr>
          <w:rFonts w:ascii="Times New Roman" w:hAnsi="Times New Roman" w:cs="Times New Roman"/>
          <w:sz w:val="16"/>
          <w:szCs w:val="16"/>
        </w:rPr>
        <w:instrText xml:space="preserve"> ADDIN EN.CITE &lt;EndNote&gt;&lt;Cite&gt;&lt;Author&gt;Almeida&lt;/Author&gt;&lt;Year&gt;2006&lt;/Year&gt;&lt;RecNum&gt;53&lt;/RecNum&gt;&lt;DisplayText&gt;Almeida and Wolfenzon (2006)&lt;/DisplayText&gt;&lt;record&gt;&lt;rec-number&gt;53&lt;/rec-number&gt;&lt;foreign-keys&gt;&lt;key app="EN" db-id="0w9rezxppe2pzrezf0lpzvz3rp29t2ds5e5t"&gt;53&lt;/key&gt;&lt;/foreign-keys&gt;&lt;ref-type name="Journal Article"&gt;17&lt;/ref-type&gt;&lt;contributors&gt;&lt;authors&gt;&lt;author&gt;Almeida, Heitor&lt;/author&gt;&lt;author&gt;Wolfenzon, Daniel&lt;/author&gt;&lt;/authors&gt;&lt;/contributors&gt;&lt;titles&gt;&lt;title&gt;Should business groups be dismantled? The equilibrium costs of efficient internal capital markets&lt;/title&gt;&lt;secondary-title&gt;Journal of Financial Economics&lt;/secondary-title&gt;&lt;/titles&gt;&lt;periodical&gt;&lt;full-title&gt;Journal of Financial Economics&lt;/full-title&gt;&lt;/periodical&gt;&lt;pages&gt;99-144&lt;/pages&gt;&lt;volume&gt;79&lt;/volume&gt;&lt;number&gt;1&lt;/number&gt;&lt;dates&gt;&lt;year&gt;2006&lt;/year&gt;&lt;/dates&gt;&lt;isbn&gt;0304-405X&lt;/isbn&gt;&lt;urls&gt;&lt;/urls&gt;&lt;/record&gt;&lt;/Cite&gt;&lt;/EndNote&gt;</w:instrText>
      </w:r>
      <w:r w:rsidR="00886B05" w:rsidRPr="00063647">
        <w:rPr>
          <w:rFonts w:ascii="Times New Roman" w:hAnsi="Times New Roman" w:cs="Times New Roman"/>
          <w:sz w:val="16"/>
          <w:szCs w:val="16"/>
        </w:rPr>
        <w:fldChar w:fldCharType="separate"/>
      </w:r>
      <w:hyperlink w:anchor="_ENREF_3" w:tooltip="Almeida, 2006 #53" w:history="1">
        <w:r w:rsidRPr="00063647">
          <w:rPr>
            <w:rFonts w:ascii="Times New Roman" w:hAnsi="Times New Roman" w:cs="Times New Roman"/>
            <w:sz w:val="16"/>
            <w:szCs w:val="16"/>
          </w:rPr>
          <w:t>Almeida and Wolfenzon (2006</w:t>
        </w:r>
      </w:hyperlink>
      <w:r w:rsidRPr="00063647">
        <w:rPr>
          <w:rFonts w:ascii="Times New Roman" w:hAnsi="Times New Roman" w:cs="Times New Roman"/>
          <w:sz w:val="16"/>
          <w:szCs w:val="16"/>
        </w:rPr>
        <w:t>)</w:t>
      </w:r>
      <w:r w:rsidR="00886B05" w:rsidRPr="00063647">
        <w:rPr>
          <w:rFonts w:ascii="Times New Roman" w:hAnsi="Times New Roman" w:cs="Times New Roman"/>
          <w:sz w:val="16"/>
          <w:szCs w:val="16"/>
        </w:rPr>
        <w:fldChar w:fldCharType="end"/>
      </w:r>
      <w:r w:rsidRPr="00063647">
        <w:rPr>
          <w:rFonts w:ascii="Times New Roman" w:hAnsi="Times New Roman" w:cs="Times New Roman"/>
          <w:sz w:val="16"/>
          <w:szCs w:val="16"/>
        </w:rPr>
        <w:t xml:space="preserve"> we do not discriminate between business group (formed by legally independent member firms) and conglomerate (formed by multiple divisions) because they both have internal capital markets that allocate capital internally.</w:t>
      </w:r>
    </w:p>
  </w:footnote>
  <w:footnote w:id="3">
    <w:p w:rsidR="006C7CF4" w:rsidRPr="00C44EF7" w:rsidRDefault="006C7CF4" w:rsidP="00190862">
      <w:pPr>
        <w:spacing w:after="0" w:line="240" w:lineRule="auto"/>
        <w:contextualSpacing/>
        <w:rPr>
          <w:rFonts w:ascii="Times New Roman" w:hAnsi="Times New Roman" w:cs="Times New Roman"/>
          <w:sz w:val="16"/>
          <w:szCs w:val="16"/>
        </w:rPr>
      </w:pPr>
      <w:r w:rsidRPr="00196AB6">
        <w:rPr>
          <w:rStyle w:val="a4"/>
          <w:rFonts w:ascii="Times New Roman" w:hAnsi="Times New Roman" w:cs="Times New Roman"/>
        </w:rPr>
        <w:footnoteRef/>
      </w:r>
      <w:r w:rsidRPr="00196AB6">
        <w:rPr>
          <w:rFonts w:ascii="Times New Roman" w:hAnsi="Times New Roman" w:cs="Times New Roman"/>
        </w:rPr>
        <w:t xml:space="preserve"> </w:t>
      </w:r>
      <w:r w:rsidRPr="00C44EF7">
        <w:rPr>
          <w:rFonts w:ascii="Times New Roman" w:hAnsi="Times New Roman" w:cs="Times New Roman"/>
          <w:sz w:val="16"/>
          <w:szCs w:val="16"/>
        </w:rPr>
        <w:t>The Korea Fair Trade Commission (KFTC) reports a list of large Korean business groups with detailed member firm information every year since 1987.</w:t>
      </w:r>
    </w:p>
  </w:footnote>
  <w:footnote w:id="4">
    <w:p w:rsidR="006C7CF4" w:rsidRPr="00C44EF7" w:rsidRDefault="006C7CF4" w:rsidP="00190862">
      <w:pPr>
        <w:spacing w:after="0" w:line="240" w:lineRule="auto"/>
        <w:contextualSpacing/>
        <w:rPr>
          <w:rFonts w:ascii="Times New Roman" w:hAnsi="Times New Roman" w:cs="Times New Roman"/>
          <w:sz w:val="16"/>
          <w:szCs w:val="16"/>
        </w:rPr>
      </w:pPr>
      <w:r w:rsidRPr="00C44EF7">
        <w:rPr>
          <w:sz w:val="16"/>
          <w:szCs w:val="16"/>
        </w:rPr>
        <w:footnoteRef/>
      </w:r>
      <w:r w:rsidRPr="00C44EF7">
        <w:rPr>
          <w:rFonts w:ascii="Times New Roman" w:hAnsi="Times New Roman" w:cs="Times New Roman"/>
          <w:sz w:val="16"/>
          <w:szCs w:val="16"/>
        </w:rPr>
        <w:t xml:space="preserve"> Korean regulations require private firms whose total assets exceed 10 billion </w:t>
      </w:r>
      <w:r w:rsidRPr="00C44EF7">
        <w:rPr>
          <w:rFonts w:ascii="Times New Roman" w:hAnsi="Times New Roman" w:cs="Times New Roman" w:hint="eastAsia"/>
          <w:sz w:val="16"/>
          <w:szCs w:val="16"/>
        </w:rPr>
        <w:t xml:space="preserve">KRW </w:t>
      </w:r>
      <w:r w:rsidRPr="00C44EF7">
        <w:rPr>
          <w:rFonts w:ascii="Times New Roman" w:hAnsi="Times New Roman" w:cs="Times New Roman"/>
          <w:sz w:val="16"/>
          <w:szCs w:val="16"/>
        </w:rPr>
        <w:t>(about 10 million in USD) to hire external auditors and file financial statements with the Korea Financial Supervisory Service.</w:t>
      </w:r>
    </w:p>
  </w:footnote>
  <w:footnote w:id="5">
    <w:p w:rsidR="006C7CF4" w:rsidRPr="00525792" w:rsidRDefault="006C7CF4" w:rsidP="00525792">
      <w:pPr>
        <w:pStyle w:val="a3"/>
        <w:jc w:val="both"/>
        <w:rPr>
          <w:rFonts w:ascii="Times New Roman" w:hAnsi="Times New Roman" w:cs="Times New Roman"/>
          <w:sz w:val="16"/>
          <w:szCs w:val="16"/>
        </w:rPr>
      </w:pPr>
      <w:r w:rsidRPr="00525792">
        <w:rPr>
          <w:rStyle w:val="a4"/>
          <w:rFonts w:ascii="Times New Roman" w:hAnsi="Times New Roman" w:cs="Times New Roman"/>
          <w:sz w:val="16"/>
          <w:szCs w:val="16"/>
        </w:rPr>
        <w:footnoteRef/>
      </w:r>
      <w:r w:rsidRPr="00525792">
        <w:rPr>
          <w:rFonts w:ascii="Times New Roman" w:hAnsi="Times New Roman" w:cs="Times New Roman"/>
          <w:sz w:val="16"/>
          <w:szCs w:val="16"/>
        </w:rPr>
        <w:t xml:space="preserve"> In contrast, by neglecting the resource flexibility feature of internal capital market, </w:t>
      </w:r>
      <w:r w:rsidR="00886B05" w:rsidRPr="00525792">
        <w:rPr>
          <w:rFonts w:ascii="Times New Roman" w:hAnsi="Times New Roman" w:cs="Times New Roman"/>
          <w:sz w:val="16"/>
          <w:szCs w:val="16"/>
        </w:rPr>
        <w:fldChar w:fldCharType="begin"/>
      </w:r>
      <w:r w:rsidRPr="00525792">
        <w:rPr>
          <w:rFonts w:ascii="Times New Roman" w:hAnsi="Times New Roman" w:cs="Times New Roman"/>
          <w:sz w:val="16"/>
          <w:szCs w:val="16"/>
        </w:rPr>
        <w:instrText xml:space="preserve"> ADDIN EN.CITE &lt;EndNote&gt;&lt;Cite&gt;&lt;Author&gt;Matsusaka&lt;/Author&gt;&lt;Year&gt;2002&lt;/Year&gt;&lt;RecNum&gt;128&lt;/RecNum&gt;&lt;DisplayText&gt;Matsusaka and Nanda (2002)&lt;/DisplayText&gt;&lt;record&gt;&lt;rec-number&gt;128&lt;/rec-number&gt;&lt;foreign-keys&gt;&lt;key app="EN" db-id="0w9rezxppe2pzrezf0lpzvz3rp29t2ds5e5t"&gt;128&lt;/key&gt;&lt;/foreign-keys&gt;&lt;ref-type name="Journal Article"&gt;17&lt;/ref-type&gt;&lt;contributors&gt;&lt;authors&gt;&lt;author&gt;Matsusaka, John G&lt;/author&gt;&lt;author&gt;Nanda, Vikram&lt;/author&gt;&lt;/authors&gt;&lt;/contributors&gt;&lt;titles&gt;&lt;title&gt;Internal capital markets and corporate refocusing&lt;/title&gt;&lt;secondary-title&gt;Journal of Financial Intermediation&lt;/secondary-title&gt;&lt;/titles&gt;&lt;periodical&gt;&lt;full-title&gt;Journal of Financial Intermediation&lt;/full-title&gt;&lt;/periodical&gt;&lt;pages&gt;176-211&lt;/pages&gt;&lt;volume&gt;11&lt;/volume&gt;&lt;number&gt;2&lt;/number&gt;&lt;dates&gt;&lt;year&gt;2002&lt;/year&gt;&lt;/dates&gt;&lt;isbn&gt;1042-9573&lt;/isbn&gt;&lt;urls&gt;&lt;/urls&gt;&lt;/record&gt;&lt;/Cite&gt;&lt;/EndNote&gt;</w:instrText>
      </w:r>
      <w:r w:rsidR="00886B05" w:rsidRPr="00525792">
        <w:rPr>
          <w:rFonts w:ascii="Times New Roman" w:hAnsi="Times New Roman" w:cs="Times New Roman"/>
          <w:sz w:val="16"/>
          <w:szCs w:val="16"/>
        </w:rPr>
        <w:fldChar w:fldCharType="separate"/>
      </w:r>
      <w:hyperlink w:anchor="_ENREF_34" w:tooltip="Matsusaka, 2002 #128" w:history="1">
        <w:r w:rsidRPr="00525792">
          <w:rPr>
            <w:rFonts w:ascii="Times New Roman" w:hAnsi="Times New Roman" w:cs="Times New Roman"/>
            <w:noProof/>
            <w:sz w:val="16"/>
            <w:szCs w:val="16"/>
          </w:rPr>
          <w:t>Matsusaka and Nanda (2002</w:t>
        </w:r>
      </w:hyperlink>
      <w:r w:rsidRPr="00525792">
        <w:rPr>
          <w:rFonts w:ascii="Times New Roman" w:hAnsi="Times New Roman" w:cs="Times New Roman"/>
          <w:noProof/>
          <w:sz w:val="16"/>
          <w:szCs w:val="16"/>
        </w:rPr>
        <w:t>)</w:t>
      </w:r>
      <w:r w:rsidR="00886B05" w:rsidRPr="00525792">
        <w:rPr>
          <w:rFonts w:ascii="Times New Roman" w:hAnsi="Times New Roman" w:cs="Times New Roman"/>
          <w:sz w:val="16"/>
          <w:szCs w:val="16"/>
        </w:rPr>
        <w:fldChar w:fldCharType="end"/>
      </w:r>
      <w:r w:rsidRPr="00525792">
        <w:rPr>
          <w:rFonts w:ascii="Times New Roman" w:hAnsi="Times New Roman" w:cs="Times New Roman"/>
          <w:sz w:val="16"/>
          <w:szCs w:val="16"/>
        </w:rPr>
        <w:t xml:space="preserve"> shows that the commitment cost of the internal capital market could make member firms lack the commitment to stay and fight in experiencing new entry, and thus lower their competitive strength compared to standalone firms. Also, in the models of </w:t>
      </w:r>
      <w:r w:rsidR="00886B05" w:rsidRPr="00525792">
        <w:rPr>
          <w:rFonts w:ascii="Times New Roman" w:hAnsi="Times New Roman" w:cs="Times New Roman"/>
          <w:sz w:val="16"/>
          <w:szCs w:val="16"/>
        </w:rPr>
        <w:fldChar w:fldCharType="begin"/>
      </w:r>
      <w:r w:rsidRPr="00525792">
        <w:rPr>
          <w:rFonts w:ascii="Times New Roman" w:hAnsi="Times New Roman" w:cs="Times New Roman"/>
          <w:sz w:val="16"/>
          <w:szCs w:val="16"/>
        </w:rPr>
        <w:instrText xml:space="preserve"> ADDIN EN.CITE &lt;EndNote&gt;&lt;Cite&gt;&lt;Author&gt;Faure-Grimaud&lt;/Author&gt;&lt;Year&gt;2005&lt;/Year&gt;&lt;RecNum&gt;126&lt;/RecNum&gt;&lt;DisplayText&gt;Faure-Grimaud and Inderst (2005)&lt;/DisplayText&gt;&lt;record&gt;&lt;rec-number&gt;126&lt;/rec-number&gt;&lt;foreign-keys&gt;&lt;key app="EN" db-id="0w9rezxppe2pzrezf0lpzvz3rp29t2ds5e5t"&gt;126&lt;/key&gt;&lt;/foreign-keys&gt;&lt;ref-type name="Journal Article"&gt;17&lt;/ref-type&gt;&lt;contributors&gt;&lt;authors&gt;&lt;author&gt;Faure-Grimaud, Antoine&lt;/author&gt;&lt;author&gt;Inderst, Roman&lt;/author&gt;&lt;/authors&gt;&lt;/contributors&gt;&lt;titles&gt;&lt;title&gt;Conglomerate entrenchment under optimal financial contracting&lt;/title&gt;&lt;secondary-title&gt;The American economic review&lt;/secondary-title&gt;&lt;/titles&gt;&lt;periodical&gt;&lt;full-title&gt;The American Economic Review&lt;/full-title&gt;&lt;/periodical&gt;&lt;pages&gt;850-861&lt;/pages&gt;&lt;volume&gt;95&lt;/volume&gt;&lt;number&gt;3&lt;/number&gt;&lt;dates&gt;&lt;year&gt;2005&lt;/year&gt;&lt;/dates&gt;&lt;isbn&gt;0002-8282&lt;/isbn&gt;&lt;urls&gt;&lt;/urls&gt;&lt;/record&gt;&lt;/Cite&gt;&lt;/EndNote&gt;</w:instrText>
      </w:r>
      <w:r w:rsidR="00886B05" w:rsidRPr="00525792">
        <w:rPr>
          <w:rFonts w:ascii="Times New Roman" w:hAnsi="Times New Roman" w:cs="Times New Roman"/>
          <w:sz w:val="16"/>
          <w:szCs w:val="16"/>
        </w:rPr>
        <w:fldChar w:fldCharType="separate"/>
      </w:r>
      <w:hyperlink w:anchor="_ENREF_19" w:tooltip="Faure-Grimaud, 2005 #126" w:history="1">
        <w:r w:rsidRPr="00525792">
          <w:rPr>
            <w:rFonts w:ascii="Times New Roman" w:hAnsi="Times New Roman" w:cs="Times New Roman"/>
            <w:noProof/>
            <w:sz w:val="16"/>
            <w:szCs w:val="16"/>
          </w:rPr>
          <w:t>Faure-Grimaud and Inderst (2005</w:t>
        </w:r>
      </w:hyperlink>
      <w:r w:rsidRPr="00525792">
        <w:rPr>
          <w:rFonts w:ascii="Times New Roman" w:hAnsi="Times New Roman" w:cs="Times New Roman"/>
          <w:noProof/>
          <w:sz w:val="16"/>
          <w:szCs w:val="16"/>
        </w:rPr>
        <w:t>)</w:t>
      </w:r>
      <w:r w:rsidR="00886B05" w:rsidRPr="00525792">
        <w:rPr>
          <w:rFonts w:ascii="Times New Roman" w:hAnsi="Times New Roman" w:cs="Times New Roman"/>
          <w:sz w:val="16"/>
          <w:szCs w:val="16"/>
        </w:rPr>
        <w:fldChar w:fldCharType="end"/>
      </w:r>
      <w:r w:rsidRPr="00525792">
        <w:rPr>
          <w:rFonts w:ascii="Times New Roman" w:hAnsi="Times New Roman" w:cs="Times New Roman"/>
          <w:sz w:val="16"/>
          <w:szCs w:val="16"/>
        </w:rPr>
        <w:t xml:space="preserve"> and </w:t>
      </w:r>
      <w:r w:rsidR="00886B05" w:rsidRPr="00525792">
        <w:rPr>
          <w:rFonts w:ascii="Times New Roman" w:hAnsi="Times New Roman" w:cs="Times New Roman"/>
          <w:sz w:val="16"/>
          <w:szCs w:val="16"/>
        </w:rPr>
        <w:fldChar w:fldCharType="begin"/>
      </w:r>
      <w:r w:rsidRPr="00525792">
        <w:rPr>
          <w:rFonts w:ascii="Times New Roman" w:hAnsi="Times New Roman" w:cs="Times New Roman"/>
          <w:sz w:val="16"/>
          <w:szCs w:val="16"/>
        </w:rPr>
        <w:instrText xml:space="preserve"> ADDIN EN.CITE &lt;EndNote&gt;&lt;Cite&gt;&lt;Author&gt;Mathews&lt;/Author&gt;&lt;Year&gt;2008&lt;/Year&gt;&lt;RecNum&gt;136&lt;/RecNum&gt;&lt;DisplayText&gt;Mathews and Robinson (2008)&lt;/DisplayText&gt;&lt;record&gt;&lt;rec-number&gt;136&lt;/rec-number&gt;&lt;foreign-keys&gt;&lt;key app="EN" db-id="0w9rezxppe2pzrezf0lpzvz3rp29t2ds5e5t"&gt;136&lt;/key&gt;&lt;/foreign-keys&gt;&lt;ref-type name="Journal Article"&gt;17&lt;/ref-type&gt;&lt;contributors&gt;&lt;authors&gt;&lt;author&gt;Mathews, Richmond D&lt;/author&gt;&lt;author&gt;Robinson, David T&lt;/author&gt;&lt;/authors&gt;&lt;/contributors&gt;&lt;titles&gt;&lt;title&gt;Market structure, internal capital markets, and the boundaries of the firm&lt;/title&gt;&lt;secondary-title&gt;The Journal of Finance&lt;/secondary-title&gt;&lt;/titles&gt;&lt;periodical&gt;&lt;full-title&gt;The Journal of Finance&lt;/full-title&gt;&lt;/periodical&gt;&lt;pages&gt;2703-2736&lt;/pages&gt;&lt;volume&gt;63&lt;/volume&gt;&lt;number&gt;6&lt;/number&gt;&lt;dates&gt;&lt;year&gt;2008&lt;/year&gt;&lt;/dates&gt;&lt;isbn&gt;1540-6261&lt;/isbn&gt;&lt;urls&gt;&lt;/urls&gt;&lt;/record&gt;&lt;/Cite&gt;&lt;/EndNote&gt;</w:instrText>
      </w:r>
      <w:r w:rsidR="00886B05" w:rsidRPr="00525792">
        <w:rPr>
          <w:rFonts w:ascii="Times New Roman" w:hAnsi="Times New Roman" w:cs="Times New Roman"/>
          <w:sz w:val="16"/>
          <w:szCs w:val="16"/>
        </w:rPr>
        <w:fldChar w:fldCharType="separate"/>
      </w:r>
      <w:hyperlink w:anchor="_ENREF_33" w:tooltip="Mathews, 2008 #136" w:history="1">
        <w:r w:rsidRPr="00525792">
          <w:rPr>
            <w:rFonts w:ascii="Times New Roman" w:hAnsi="Times New Roman" w:cs="Times New Roman"/>
            <w:noProof/>
            <w:sz w:val="16"/>
            <w:szCs w:val="16"/>
          </w:rPr>
          <w:t>Mathews and Robinson (2008</w:t>
        </w:r>
      </w:hyperlink>
      <w:r w:rsidRPr="00525792">
        <w:rPr>
          <w:rFonts w:ascii="Times New Roman" w:hAnsi="Times New Roman" w:cs="Times New Roman"/>
          <w:noProof/>
          <w:sz w:val="16"/>
          <w:szCs w:val="16"/>
        </w:rPr>
        <w:t>)</w:t>
      </w:r>
      <w:r w:rsidR="00886B05" w:rsidRPr="00525792">
        <w:rPr>
          <w:rFonts w:ascii="Times New Roman" w:hAnsi="Times New Roman" w:cs="Times New Roman"/>
          <w:sz w:val="16"/>
          <w:szCs w:val="16"/>
        </w:rPr>
        <w:fldChar w:fldCharType="end"/>
      </w:r>
      <w:r w:rsidRPr="00525792">
        <w:rPr>
          <w:rFonts w:ascii="Times New Roman" w:hAnsi="Times New Roman" w:cs="Times New Roman"/>
          <w:sz w:val="16"/>
          <w:szCs w:val="16"/>
        </w:rPr>
        <w:t>, the commitment cost of internal capital market could exceed the resource flexibility effect when agency problem between the firm and outside investors or the product market uncertainty are lower than certain level, which make business group affiliation less attractive in terms of competitive advantage.</w:t>
      </w:r>
    </w:p>
  </w:footnote>
  <w:footnote w:id="6">
    <w:p w:rsidR="006C7CF4" w:rsidRPr="00190862" w:rsidRDefault="006C7CF4" w:rsidP="00190862">
      <w:pPr>
        <w:pStyle w:val="a3"/>
        <w:contextualSpacing/>
        <w:jc w:val="both"/>
        <w:rPr>
          <w:rFonts w:ascii="Times New Roman" w:hAnsi="Times New Roman" w:cs="Times New Roman"/>
          <w:sz w:val="16"/>
          <w:szCs w:val="16"/>
        </w:rPr>
      </w:pPr>
      <w:r w:rsidRPr="00190862">
        <w:rPr>
          <w:rFonts w:ascii="Times New Roman" w:hAnsi="Times New Roman" w:cs="Times New Roman"/>
          <w:sz w:val="16"/>
          <w:szCs w:val="16"/>
        </w:rPr>
        <w:footnoteRef/>
      </w:r>
      <w:r w:rsidRPr="00190862">
        <w:rPr>
          <w:rFonts w:ascii="Times New Roman" w:hAnsi="Times New Roman" w:cs="Times New Roman"/>
          <w:sz w:val="16"/>
          <w:szCs w:val="16"/>
        </w:rPr>
        <w:t xml:space="preserve"> In unreported results, we also use the original coefficients of </w:t>
      </w:r>
      <w:proofErr w:type="spellStart"/>
      <w:r w:rsidRPr="00190862">
        <w:rPr>
          <w:rFonts w:ascii="Times New Roman" w:hAnsi="Times New Roman" w:cs="Times New Roman"/>
          <w:sz w:val="16"/>
          <w:szCs w:val="16"/>
        </w:rPr>
        <w:t>Altaman’s</w:t>
      </w:r>
      <w:proofErr w:type="spellEnd"/>
      <w:r w:rsidRPr="00190862">
        <w:rPr>
          <w:rFonts w:ascii="Times New Roman" w:hAnsi="Times New Roman" w:cs="Times New Roman"/>
          <w:sz w:val="16"/>
          <w:szCs w:val="16"/>
        </w:rPr>
        <w:t xml:space="preserve"> Z-score, </w:t>
      </w:r>
      <w:proofErr w:type="spellStart"/>
      <w:r w:rsidRPr="00190862">
        <w:rPr>
          <w:rFonts w:ascii="Times New Roman" w:hAnsi="Times New Roman" w:cs="Times New Roman"/>
          <w:sz w:val="16"/>
          <w:szCs w:val="16"/>
        </w:rPr>
        <w:t>Ohltman’s</w:t>
      </w:r>
      <w:proofErr w:type="spellEnd"/>
      <w:r w:rsidRPr="00190862">
        <w:rPr>
          <w:rFonts w:ascii="Times New Roman" w:hAnsi="Times New Roman" w:cs="Times New Roman"/>
          <w:sz w:val="16"/>
          <w:szCs w:val="16"/>
        </w:rPr>
        <w:t xml:space="preserve"> O-score and </w:t>
      </w:r>
      <w:proofErr w:type="spellStart"/>
      <w:r w:rsidRPr="00190862">
        <w:rPr>
          <w:rFonts w:ascii="Times New Roman" w:hAnsi="Times New Roman" w:cs="Times New Roman"/>
          <w:sz w:val="16"/>
          <w:szCs w:val="16"/>
        </w:rPr>
        <w:t>Zmijewski’s</w:t>
      </w:r>
      <w:proofErr w:type="spellEnd"/>
      <w:r w:rsidRPr="00190862">
        <w:rPr>
          <w:rFonts w:ascii="Times New Roman" w:hAnsi="Times New Roman" w:cs="Times New Roman"/>
          <w:sz w:val="16"/>
          <w:szCs w:val="16"/>
        </w:rPr>
        <w:t xml:space="preserve"> ZM-score. In addition, following the logic of </w:t>
      </w:r>
      <w:r w:rsidR="00886B05" w:rsidRPr="00190862">
        <w:rPr>
          <w:rFonts w:ascii="Times New Roman" w:hAnsi="Times New Roman" w:cs="Times New Roman"/>
          <w:sz w:val="16"/>
          <w:szCs w:val="16"/>
        </w:rPr>
        <w:fldChar w:fldCharType="begin"/>
      </w:r>
      <w:r>
        <w:rPr>
          <w:rFonts w:ascii="Times New Roman" w:hAnsi="Times New Roman" w:cs="Times New Roman"/>
          <w:sz w:val="16"/>
          <w:szCs w:val="16"/>
        </w:rPr>
        <w:instrText xml:space="preserve"> ADDIN EN.CITE &lt;EndNote&gt;&lt;Cite&gt;&lt;Author&gt;Kim&lt;/Author&gt;&lt;Year&gt;2011&lt;/Year&gt;&lt;RecNum&gt;116&lt;/RecNum&gt;&lt;DisplayText&gt;Kim, Song and Zhang (2011)&lt;/DisplayText&gt;&lt;record&gt;&lt;rec-number&gt;116&lt;/rec-number&gt;&lt;foreign-keys&gt;&lt;key app="EN" db-id="0w9rezxppe2pzrezf0lpzvz3rp29t2ds5e5t"&gt;116&lt;/key&gt;&lt;/foreign-keys&gt;&lt;ref-type name="Journal Article"&gt;17&lt;/ref-type&gt;&lt;contributors&gt;&lt;authors&gt;&lt;author&gt;Kim, Jeong-Bon&lt;/author&gt;&lt;author&gt;Song, Byron Y&lt;/author&gt;&lt;author&gt;Zhang, Liandong&lt;/author&gt;&lt;/authors&gt;&lt;/contributors&gt;&lt;titles&gt;&lt;title&gt;Internal control weakness and bank loan contracting: Evidence from SOX Section 404 disclosures&lt;/title&gt;&lt;secondary-title&gt;The Accounting Review&lt;/secondary-title&gt;&lt;/titles&gt;&lt;periodical&gt;&lt;full-title&gt;The Accounting Review&lt;/full-title&gt;&lt;/periodical&gt;&lt;pages&gt;1157-1188&lt;/pages&gt;&lt;volume&gt;86&lt;/volume&gt;&lt;number&gt;4&lt;/number&gt;&lt;dates&gt;&lt;year&gt;2011&lt;/year&gt;&lt;/dates&gt;&lt;isbn&gt;0001-4826&lt;/isbn&gt;&lt;urls&gt;&lt;/urls&gt;&lt;/record&gt;&lt;/Cite&gt;&lt;/EndNote&gt;</w:instrText>
      </w:r>
      <w:r w:rsidR="00886B05" w:rsidRPr="00190862">
        <w:rPr>
          <w:rFonts w:ascii="Times New Roman" w:hAnsi="Times New Roman" w:cs="Times New Roman"/>
          <w:sz w:val="16"/>
          <w:szCs w:val="16"/>
        </w:rPr>
        <w:fldChar w:fldCharType="separate"/>
      </w:r>
      <w:hyperlink w:anchor="_ENREF_23" w:tooltip="Kim, 2011 #116" w:history="1">
        <w:r>
          <w:rPr>
            <w:rFonts w:ascii="Times New Roman" w:hAnsi="Times New Roman" w:cs="Times New Roman"/>
            <w:noProof/>
            <w:sz w:val="16"/>
            <w:szCs w:val="16"/>
          </w:rPr>
          <w:t>Kim, Song and Zhang (2011</w:t>
        </w:r>
      </w:hyperlink>
      <w:r>
        <w:rPr>
          <w:rFonts w:ascii="Times New Roman" w:hAnsi="Times New Roman" w:cs="Times New Roman"/>
          <w:noProof/>
          <w:sz w:val="16"/>
          <w:szCs w:val="16"/>
        </w:rPr>
        <w:t>)</w:t>
      </w:r>
      <w:r w:rsidR="00886B05" w:rsidRPr="00190862">
        <w:rPr>
          <w:rFonts w:ascii="Times New Roman" w:hAnsi="Times New Roman" w:cs="Times New Roman"/>
          <w:sz w:val="16"/>
          <w:szCs w:val="16"/>
        </w:rPr>
        <w:fldChar w:fldCharType="end"/>
      </w:r>
      <w:r w:rsidRPr="00190862">
        <w:rPr>
          <w:rFonts w:ascii="Times New Roman" w:hAnsi="Times New Roman" w:cs="Times New Roman"/>
          <w:sz w:val="16"/>
          <w:szCs w:val="16"/>
        </w:rPr>
        <w:t>, we perform a principal component analysis based on the above three measures, and use the first principal component as another proxy for financial distress risk. In all cases, the results are highly consistent with what we report here using the “KM-score” and “KL-score”.</w:t>
      </w:r>
    </w:p>
  </w:footnote>
  <w:footnote w:id="7">
    <w:p w:rsidR="006C7CF4" w:rsidRPr="00FF03A3" w:rsidRDefault="006C7CF4" w:rsidP="00190862">
      <w:pPr>
        <w:pStyle w:val="a3"/>
        <w:contextualSpacing/>
        <w:jc w:val="both"/>
        <w:rPr>
          <w:rFonts w:ascii="Times New Roman" w:hAnsi="Times New Roman" w:cs="Times New Roman"/>
        </w:rPr>
      </w:pPr>
      <w:r w:rsidRPr="00190862">
        <w:rPr>
          <w:sz w:val="16"/>
          <w:szCs w:val="16"/>
        </w:rPr>
        <w:footnoteRef/>
      </w:r>
      <w:r w:rsidRPr="00190862">
        <w:rPr>
          <w:rFonts w:ascii="Times New Roman" w:hAnsi="Times New Roman" w:cs="Times New Roman"/>
          <w:sz w:val="16"/>
          <w:szCs w:val="16"/>
        </w:rPr>
        <w:t xml:space="preserve"> The original KM-score, </w:t>
      </w:r>
      <w:r w:rsidRPr="00190862">
        <w:rPr>
          <w:rFonts w:ascii="Times New Roman" w:hAnsi="Times New Roman" w:cs="Times New Roman" w:hint="eastAsia"/>
          <w:sz w:val="16"/>
          <w:szCs w:val="16"/>
        </w:rPr>
        <w:t>equivalent to</w:t>
      </w:r>
      <w:r w:rsidRPr="00190862">
        <w:rPr>
          <w:rFonts w:ascii="Times New Roman" w:hAnsi="Times New Roman" w:cs="Times New Roman"/>
          <w:sz w:val="16"/>
          <w:szCs w:val="16"/>
        </w:rPr>
        <w:t xml:space="preserve"> Altman Z-score, is a measure of financial health. For explanation convenience, we change the signs of the original KM-score parameter estimates so that our KM-score here is increasing with financial distress risk.</w:t>
      </w:r>
    </w:p>
  </w:footnote>
  <w:footnote w:id="8">
    <w:p w:rsidR="006C7CF4" w:rsidRPr="00190862" w:rsidRDefault="006C7CF4" w:rsidP="00190862">
      <w:pPr>
        <w:pStyle w:val="a3"/>
        <w:contextualSpacing/>
        <w:jc w:val="both"/>
        <w:rPr>
          <w:rFonts w:ascii="Times New Roman" w:hAnsi="Times New Roman" w:cs="Times New Roman"/>
          <w:sz w:val="16"/>
          <w:szCs w:val="16"/>
        </w:rPr>
      </w:pPr>
      <w:r w:rsidRPr="00190862">
        <w:rPr>
          <w:rFonts w:ascii="Times New Roman" w:hAnsi="Times New Roman" w:cs="Times New Roman"/>
          <w:sz w:val="16"/>
          <w:szCs w:val="16"/>
        </w:rPr>
        <w:footnoteRef/>
      </w:r>
      <w:r w:rsidRPr="00190862">
        <w:rPr>
          <w:rFonts w:ascii="Times New Roman" w:hAnsi="Times New Roman" w:cs="Times New Roman"/>
          <w:sz w:val="16"/>
          <w:szCs w:val="16"/>
        </w:rPr>
        <w:t xml:space="preserve"> For example, the resource flexibility and </w:t>
      </w:r>
      <w:r w:rsidRPr="00190862">
        <w:rPr>
          <w:rFonts w:ascii="Times New Roman" w:hAnsi="Times New Roman" w:cs="Times New Roman" w:hint="eastAsia"/>
          <w:sz w:val="16"/>
          <w:szCs w:val="16"/>
        </w:rPr>
        <w:t xml:space="preserve">the </w:t>
      </w:r>
      <w:r w:rsidRPr="00190862">
        <w:rPr>
          <w:rFonts w:ascii="Times New Roman" w:hAnsi="Times New Roman" w:cs="Times New Roman"/>
          <w:sz w:val="16"/>
          <w:szCs w:val="16"/>
        </w:rPr>
        <w:t xml:space="preserve">commitment cost effect might </w:t>
      </w:r>
      <w:r w:rsidRPr="00190862">
        <w:rPr>
          <w:rFonts w:ascii="Times New Roman" w:hAnsi="Times New Roman" w:cs="Times New Roman" w:hint="eastAsia"/>
          <w:sz w:val="16"/>
          <w:szCs w:val="16"/>
        </w:rPr>
        <w:t xml:space="preserve">be </w:t>
      </w:r>
      <w:r w:rsidRPr="00190862">
        <w:rPr>
          <w:rFonts w:ascii="Times New Roman" w:hAnsi="Times New Roman" w:cs="Times New Roman"/>
          <w:sz w:val="16"/>
          <w:szCs w:val="16"/>
        </w:rPr>
        <w:t>cancel</w:t>
      </w:r>
      <w:r w:rsidRPr="00190862">
        <w:rPr>
          <w:rFonts w:ascii="Times New Roman" w:hAnsi="Times New Roman" w:cs="Times New Roman" w:hint="eastAsia"/>
          <w:sz w:val="16"/>
          <w:szCs w:val="16"/>
        </w:rPr>
        <w:t>led</w:t>
      </w:r>
      <w:r w:rsidRPr="00190862">
        <w:rPr>
          <w:rFonts w:ascii="Times New Roman" w:hAnsi="Times New Roman" w:cs="Times New Roman"/>
          <w:sz w:val="16"/>
          <w:szCs w:val="16"/>
        </w:rPr>
        <w:t xml:space="preserve"> out under certain condition.</w:t>
      </w:r>
    </w:p>
  </w:footnote>
  <w:footnote w:id="9">
    <w:p w:rsidR="006C7CF4" w:rsidRDefault="006C7CF4" w:rsidP="00190862">
      <w:pPr>
        <w:pStyle w:val="a3"/>
        <w:contextualSpacing/>
        <w:jc w:val="both"/>
      </w:pPr>
      <w:r w:rsidRPr="00190862">
        <w:rPr>
          <w:rFonts w:ascii="Times New Roman" w:hAnsi="Times New Roman" w:cs="Times New Roman"/>
          <w:sz w:val="16"/>
          <w:szCs w:val="16"/>
        </w:rPr>
        <w:footnoteRef/>
      </w:r>
      <w:r w:rsidRPr="00190862">
        <w:rPr>
          <w:rFonts w:ascii="Times New Roman" w:hAnsi="Times New Roman" w:cs="Times New Roman"/>
          <w:sz w:val="16"/>
          <w:szCs w:val="16"/>
        </w:rPr>
        <w:t xml:space="preserve"> We also estimate equation (3) without constant and the results are highly consistent.</w:t>
      </w:r>
    </w:p>
  </w:footnote>
  <w:footnote w:id="10">
    <w:p w:rsidR="006C7CF4" w:rsidRPr="00794C6C" w:rsidRDefault="006C7CF4" w:rsidP="0030091E">
      <w:pPr>
        <w:pStyle w:val="a3"/>
        <w:contextualSpacing/>
        <w:jc w:val="both"/>
        <w:rPr>
          <w:szCs w:val="20"/>
        </w:rPr>
      </w:pPr>
      <w:r w:rsidRPr="0030091E">
        <w:rPr>
          <w:rFonts w:ascii="Times New Roman" w:hAnsi="Times New Roman" w:cs="Times New Roman"/>
          <w:sz w:val="16"/>
          <w:szCs w:val="16"/>
        </w:rPr>
        <w:footnoteRef/>
      </w:r>
      <w:r w:rsidRPr="0030091E">
        <w:rPr>
          <w:rFonts w:ascii="Times New Roman" w:hAnsi="Times New Roman" w:cs="Times New Roman"/>
          <w:sz w:val="16"/>
          <w:szCs w:val="16"/>
        </w:rPr>
        <w:t xml:space="preserve"> </w:t>
      </w:r>
      <w:r w:rsidRPr="0030091E">
        <w:rPr>
          <w:rFonts w:ascii="Times New Roman" w:hAnsi="Times New Roman" w:cs="Times New Roman" w:hint="eastAsia"/>
          <w:sz w:val="16"/>
          <w:szCs w:val="16"/>
        </w:rPr>
        <w:t xml:space="preserve">In fact, </w:t>
      </w:r>
      <w:r w:rsidRPr="0030091E">
        <w:rPr>
          <w:rFonts w:ascii="Times New Roman" w:hAnsi="Times New Roman" w:cs="Times New Roman"/>
          <w:sz w:val="16"/>
          <w:szCs w:val="16"/>
        </w:rPr>
        <w:t>this result offers a possible explanation for the lower R&amp;D intensity of member firms shown in Table 1</w:t>
      </w:r>
      <w:r>
        <w:rPr>
          <w:rFonts w:ascii="Times New Roman" w:hAnsi="Times New Roman" w:cs="Times New Roman"/>
          <w:sz w:val="16"/>
          <w:szCs w:val="16"/>
        </w:rPr>
        <w:t>.</w:t>
      </w:r>
    </w:p>
  </w:footnote>
  <w:footnote w:id="11">
    <w:p w:rsidR="006C7CF4" w:rsidRDefault="006C7CF4" w:rsidP="00F73808">
      <w:pPr>
        <w:pStyle w:val="a3"/>
      </w:pPr>
      <w:r w:rsidRPr="0030091E">
        <w:rPr>
          <w:rFonts w:ascii="Times New Roman" w:hAnsi="Times New Roman" w:cs="Times New Roman"/>
          <w:sz w:val="16"/>
          <w:szCs w:val="16"/>
        </w:rPr>
        <w:footnoteRef/>
      </w:r>
      <w:r w:rsidRPr="0030091E">
        <w:rPr>
          <w:rFonts w:ascii="Times New Roman" w:hAnsi="Times New Roman" w:cs="Times New Roman"/>
          <w:sz w:val="16"/>
          <w:szCs w:val="16"/>
        </w:rPr>
        <w:t xml:space="preserve"> Instead of tangibility ratio, we also use internal cash flow (measured by EBITDA/total assets) and firm size as proxies for financial constraint. In unreported tables, the results are</w:t>
      </w:r>
      <w:r w:rsidRPr="0030091E">
        <w:rPr>
          <w:rFonts w:ascii="Times New Roman" w:hAnsi="Times New Roman" w:cs="Times New Roman" w:hint="eastAsia"/>
          <w:sz w:val="16"/>
          <w:szCs w:val="16"/>
        </w:rPr>
        <w:t xml:space="preserve"> consistent with</w:t>
      </w:r>
      <w:r w:rsidRPr="0030091E">
        <w:rPr>
          <w:rFonts w:ascii="Times New Roman" w:hAnsi="Times New Roman" w:cs="Times New Roman"/>
          <w:sz w:val="16"/>
          <w:szCs w:val="16"/>
        </w:rPr>
        <w:t xml:space="preserve"> what we present here.</w:t>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CA5" w:rsidRDefault="00796CA5">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CA5" w:rsidRDefault="00796CA5">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CA5" w:rsidRDefault="00796CA5">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EN.InstantFormat" w:val="&lt;ENInstantFormat&gt;&lt;Enabled&gt;0&lt;/Enabled&gt;&lt;ScanUnformatted&gt;1&lt;/ScanUnformatted&gt;&lt;ScanChanges&gt;1&lt;/ScanChanges&gt;&lt;Suspended&gt;0&lt;/Suspended&gt;&lt;/ENInstantFormat&gt;"/>
    <w:docVar w:name="EN.Layout" w:val="&lt;ENLayout&gt;&lt;Style&gt;J Finance Copy_1&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w9rezxppe2pzrezf0lpzvz3rp29t2ds5e5t&quot;&gt;Bond market dynamics in Several Asian Countries&lt;record-ids&gt;&lt;item&gt;53&lt;/item&gt;&lt;item&gt;55&lt;/item&gt;&lt;item&gt;57&lt;/item&gt;&lt;item&gt;58&lt;/item&gt;&lt;item&gt;69&lt;/item&gt;&lt;item&gt;76&lt;/item&gt;&lt;item&gt;77&lt;/item&gt;&lt;item&gt;87&lt;/item&gt;&lt;item&gt;94&lt;/item&gt;&lt;item&gt;95&lt;/item&gt;&lt;item&gt;96&lt;/item&gt;&lt;item&gt;102&lt;/item&gt;&lt;item&gt;108&lt;/item&gt;&lt;item&gt;109&lt;/item&gt;&lt;item&gt;111&lt;/item&gt;&lt;item&gt;113&lt;/item&gt;&lt;item&gt;114&lt;/item&gt;&lt;item&gt;115&lt;/item&gt;&lt;item&gt;116&lt;/item&gt;&lt;item&gt;117&lt;/item&gt;&lt;item&gt;118&lt;/item&gt;&lt;item&gt;119&lt;/item&gt;&lt;item&gt;120&lt;/item&gt;&lt;item&gt;121&lt;/item&gt;&lt;item&gt;124&lt;/item&gt;&lt;item&gt;125&lt;/item&gt;&lt;item&gt;126&lt;/item&gt;&lt;item&gt;127&lt;/item&gt;&lt;item&gt;129&lt;/item&gt;&lt;item&gt;130&lt;/item&gt;&lt;item&gt;131&lt;/item&gt;&lt;item&gt;133&lt;/item&gt;&lt;item&gt;134&lt;/item&gt;&lt;item&gt;136&lt;/item&gt;&lt;item&gt;137&lt;/item&gt;&lt;item&gt;140&lt;/item&gt;&lt;item&gt;141&lt;/item&gt;&lt;/record-ids&gt;&lt;/item&gt;&lt;/Libraries&gt;"/>
  </w:docVars>
  <w:rsids>
    <w:rsidRoot w:val="002714DA"/>
    <w:rsid w:val="00063647"/>
    <w:rsid w:val="000D5BE2"/>
    <w:rsid w:val="00112209"/>
    <w:rsid w:val="0011479B"/>
    <w:rsid w:val="00123928"/>
    <w:rsid w:val="001579CC"/>
    <w:rsid w:val="00190862"/>
    <w:rsid w:val="00220367"/>
    <w:rsid w:val="00263B42"/>
    <w:rsid w:val="00267B32"/>
    <w:rsid w:val="002714DA"/>
    <w:rsid w:val="0030091E"/>
    <w:rsid w:val="00302A42"/>
    <w:rsid w:val="00345330"/>
    <w:rsid w:val="003A4F08"/>
    <w:rsid w:val="003B0FE0"/>
    <w:rsid w:val="003D699C"/>
    <w:rsid w:val="003F0C0F"/>
    <w:rsid w:val="004D53E2"/>
    <w:rsid w:val="00525792"/>
    <w:rsid w:val="00537236"/>
    <w:rsid w:val="00542988"/>
    <w:rsid w:val="005660D6"/>
    <w:rsid w:val="00595E9B"/>
    <w:rsid w:val="006604C6"/>
    <w:rsid w:val="00662D2C"/>
    <w:rsid w:val="006C7CF4"/>
    <w:rsid w:val="00710C45"/>
    <w:rsid w:val="00711772"/>
    <w:rsid w:val="00715631"/>
    <w:rsid w:val="00745CA5"/>
    <w:rsid w:val="00754A1A"/>
    <w:rsid w:val="007852F2"/>
    <w:rsid w:val="00796CA5"/>
    <w:rsid w:val="007A5303"/>
    <w:rsid w:val="007B60CB"/>
    <w:rsid w:val="007F0E38"/>
    <w:rsid w:val="00871549"/>
    <w:rsid w:val="00886B05"/>
    <w:rsid w:val="008D608A"/>
    <w:rsid w:val="008E10AB"/>
    <w:rsid w:val="009411BC"/>
    <w:rsid w:val="0099205A"/>
    <w:rsid w:val="00A21DE5"/>
    <w:rsid w:val="00A5001B"/>
    <w:rsid w:val="00AC1201"/>
    <w:rsid w:val="00AD0932"/>
    <w:rsid w:val="00AE11E5"/>
    <w:rsid w:val="00AF7111"/>
    <w:rsid w:val="00B50611"/>
    <w:rsid w:val="00BD72E1"/>
    <w:rsid w:val="00BD77E2"/>
    <w:rsid w:val="00C13B7D"/>
    <w:rsid w:val="00C44EF7"/>
    <w:rsid w:val="00C862D8"/>
    <w:rsid w:val="00CB5C3F"/>
    <w:rsid w:val="00D01EDF"/>
    <w:rsid w:val="00D22B1E"/>
    <w:rsid w:val="00D62D50"/>
    <w:rsid w:val="00DC06DE"/>
    <w:rsid w:val="00DC23A6"/>
    <w:rsid w:val="00DC6BB0"/>
    <w:rsid w:val="00E11976"/>
    <w:rsid w:val="00E1515E"/>
    <w:rsid w:val="00E644C5"/>
    <w:rsid w:val="00E960C0"/>
    <w:rsid w:val="00F66F12"/>
    <w:rsid w:val="00F73808"/>
    <w:rsid w:val="00F95191"/>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44C5"/>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C44EF7"/>
    <w:pPr>
      <w:snapToGrid w:val="0"/>
      <w:jc w:val="left"/>
    </w:pPr>
  </w:style>
  <w:style w:type="character" w:customStyle="1" w:styleId="Char">
    <w:name w:val="각주 텍스트 Char"/>
    <w:basedOn w:val="a0"/>
    <w:link w:val="a3"/>
    <w:uiPriority w:val="99"/>
    <w:rsid w:val="00C44EF7"/>
  </w:style>
  <w:style w:type="character" w:styleId="a4">
    <w:name w:val="footnote reference"/>
    <w:basedOn w:val="a0"/>
    <w:uiPriority w:val="99"/>
    <w:semiHidden/>
    <w:unhideWhenUsed/>
    <w:rsid w:val="00C44EF7"/>
    <w:rPr>
      <w:vertAlign w:val="superscript"/>
    </w:rPr>
  </w:style>
  <w:style w:type="table" w:styleId="a5">
    <w:name w:val="Table Grid"/>
    <w:basedOn w:val="a1"/>
    <w:uiPriority w:val="59"/>
    <w:rsid w:val="00B506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Char0"/>
    <w:uiPriority w:val="99"/>
    <w:semiHidden/>
    <w:unhideWhenUsed/>
    <w:rsid w:val="00B50611"/>
    <w:pPr>
      <w:spacing w:after="0" w:line="240" w:lineRule="auto"/>
    </w:pPr>
    <w:rPr>
      <w:rFonts w:asciiTheme="majorHAnsi" w:eastAsiaTheme="majorEastAsia" w:hAnsiTheme="majorHAnsi" w:cstheme="majorBidi"/>
      <w:sz w:val="16"/>
      <w:szCs w:val="16"/>
    </w:rPr>
  </w:style>
  <w:style w:type="character" w:customStyle="1" w:styleId="Char0">
    <w:name w:val="풍선 도움말 텍스트 Char"/>
    <w:basedOn w:val="a0"/>
    <w:link w:val="a6"/>
    <w:uiPriority w:val="99"/>
    <w:semiHidden/>
    <w:rsid w:val="00B50611"/>
    <w:rPr>
      <w:rFonts w:asciiTheme="majorHAnsi" w:eastAsiaTheme="majorEastAsia" w:hAnsiTheme="majorHAnsi" w:cstheme="majorBidi"/>
      <w:sz w:val="16"/>
      <w:szCs w:val="16"/>
    </w:rPr>
  </w:style>
  <w:style w:type="paragraph" w:styleId="a7">
    <w:name w:val="header"/>
    <w:basedOn w:val="a"/>
    <w:link w:val="Char1"/>
    <w:uiPriority w:val="99"/>
    <w:unhideWhenUsed/>
    <w:rsid w:val="003F0C0F"/>
    <w:pPr>
      <w:tabs>
        <w:tab w:val="center" w:pos="4513"/>
        <w:tab w:val="right" w:pos="9026"/>
      </w:tabs>
      <w:snapToGrid w:val="0"/>
    </w:pPr>
  </w:style>
  <w:style w:type="character" w:customStyle="1" w:styleId="Char1">
    <w:name w:val="머리글 Char"/>
    <w:basedOn w:val="a0"/>
    <w:link w:val="a7"/>
    <w:uiPriority w:val="99"/>
    <w:rsid w:val="003F0C0F"/>
  </w:style>
  <w:style w:type="paragraph" w:styleId="a8">
    <w:name w:val="footer"/>
    <w:basedOn w:val="a"/>
    <w:link w:val="Char2"/>
    <w:uiPriority w:val="99"/>
    <w:unhideWhenUsed/>
    <w:rsid w:val="003F0C0F"/>
    <w:pPr>
      <w:tabs>
        <w:tab w:val="center" w:pos="4513"/>
        <w:tab w:val="right" w:pos="9026"/>
      </w:tabs>
      <w:snapToGrid w:val="0"/>
    </w:pPr>
  </w:style>
  <w:style w:type="character" w:customStyle="1" w:styleId="Char2">
    <w:name w:val="바닥글 Char"/>
    <w:basedOn w:val="a0"/>
    <w:link w:val="a8"/>
    <w:uiPriority w:val="99"/>
    <w:rsid w:val="003F0C0F"/>
  </w:style>
  <w:style w:type="character" w:styleId="a9">
    <w:name w:val="Hyperlink"/>
    <w:basedOn w:val="a0"/>
    <w:uiPriority w:val="99"/>
    <w:unhideWhenUsed/>
    <w:rsid w:val="00710C45"/>
    <w:rPr>
      <w:color w:val="0000FF" w:themeColor="hyperlink"/>
      <w:u w:val="single"/>
    </w:rPr>
  </w:style>
  <w:style w:type="character" w:styleId="aa">
    <w:name w:val="annotation reference"/>
    <w:basedOn w:val="a0"/>
    <w:uiPriority w:val="99"/>
    <w:semiHidden/>
    <w:unhideWhenUsed/>
    <w:rsid w:val="003B0FE0"/>
    <w:rPr>
      <w:sz w:val="18"/>
      <w:szCs w:val="18"/>
    </w:rPr>
  </w:style>
  <w:style w:type="paragraph" w:styleId="ab">
    <w:name w:val="annotation text"/>
    <w:basedOn w:val="a"/>
    <w:link w:val="Char3"/>
    <w:uiPriority w:val="99"/>
    <w:semiHidden/>
    <w:unhideWhenUsed/>
    <w:rsid w:val="003B0FE0"/>
    <w:pPr>
      <w:jc w:val="left"/>
    </w:pPr>
  </w:style>
  <w:style w:type="character" w:customStyle="1" w:styleId="Char3">
    <w:name w:val="메모 텍스트 Char"/>
    <w:basedOn w:val="a0"/>
    <w:link w:val="ab"/>
    <w:uiPriority w:val="99"/>
    <w:semiHidden/>
    <w:rsid w:val="003B0FE0"/>
  </w:style>
  <w:style w:type="paragraph" w:styleId="ac">
    <w:name w:val="annotation subject"/>
    <w:basedOn w:val="ab"/>
    <w:next w:val="ab"/>
    <w:link w:val="Char4"/>
    <w:uiPriority w:val="99"/>
    <w:semiHidden/>
    <w:unhideWhenUsed/>
    <w:rsid w:val="003B0FE0"/>
    <w:rPr>
      <w:b/>
      <w:bCs/>
    </w:rPr>
  </w:style>
  <w:style w:type="character" w:customStyle="1" w:styleId="Char4">
    <w:name w:val="메모 주제 Char"/>
    <w:basedOn w:val="Char3"/>
    <w:link w:val="ac"/>
    <w:uiPriority w:val="99"/>
    <w:semiHidden/>
    <w:rsid w:val="003B0FE0"/>
    <w:rPr>
      <w:b/>
      <w:bCs/>
    </w:rPr>
  </w:style>
  <w:style w:type="paragraph" w:styleId="ad">
    <w:name w:val="List Paragraph"/>
    <w:basedOn w:val="a"/>
    <w:uiPriority w:val="34"/>
    <w:qFormat/>
    <w:rsid w:val="006C7C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4C5"/>
    <w:pPr>
      <w:widowControl w:val="0"/>
      <w:wordWrap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44EF7"/>
    <w:pPr>
      <w:snapToGrid w:val="0"/>
      <w:jc w:val="left"/>
    </w:pPr>
  </w:style>
  <w:style w:type="character" w:customStyle="1" w:styleId="FootnoteTextChar">
    <w:name w:val="Footnote Text Char"/>
    <w:basedOn w:val="DefaultParagraphFont"/>
    <w:link w:val="FootnoteText"/>
    <w:uiPriority w:val="99"/>
    <w:rsid w:val="00C44EF7"/>
  </w:style>
  <w:style w:type="character" w:styleId="FootnoteReference">
    <w:name w:val="footnote reference"/>
    <w:basedOn w:val="DefaultParagraphFont"/>
    <w:uiPriority w:val="99"/>
    <w:semiHidden/>
    <w:unhideWhenUsed/>
    <w:rsid w:val="00C44EF7"/>
    <w:rPr>
      <w:vertAlign w:val="superscript"/>
    </w:rPr>
  </w:style>
  <w:style w:type="table" w:styleId="TableGrid">
    <w:name w:val="Table Grid"/>
    <w:basedOn w:val="TableNormal"/>
    <w:uiPriority w:val="59"/>
    <w:rsid w:val="00B506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50611"/>
    <w:pPr>
      <w:spacing w:after="0" w:line="240" w:lineRule="auto"/>
    </w:pPr>
    <w:rPr>
      <w:rFonts w:asciiTheme="majorHAnsi" w:eastAsiaTheme="majorEastAsia" w:hAnsiTheme="majorHAnsi" w:cstheme="majorBidi"/>
      <w:sz w:val="16"/>
      <w:szCs w:val="16"/>
    </w:rPr>
  </w:style>
  <w:style w:type="character" w:customStyle="1" w:styleId="BalloonTextChar">
    <w:name w:val="Balloon Text Char"/>
    <w:basedOn w:val="DefaultParagraphFont"/>
    <w:link w:val="BalloonText"/>
    <w:uiPriority w:val="99"/>
    <w:semiHidden/>
    <w:rsid w:val="00B50611"/>
    <w:rPr>
      <w:rFonts w:asciiTheme="majorHAnsi" w:eastAsiaTheme="majorEastAsia" w:hAnsiTheme="majorHAnsi" w:cstheme="majorBidi"/>
      <w:sz w:val="16"/>
      <w:szCs w:val="16"/>
    </w:rPr>
  </w:style>
  <w:style w:type="paragraph" w:styleId="Header">
    <w:name w:val="header"/>
    <w:basedOn w:val="Normal"/>
    <w:link w:val="HeaderChar"/>
    <w:uiPriority w:val="99"/>
    <w:unhideWhenUsed/>
    <w:rsid w:val="003F0C0F"/>
    <w:pPr>
      <w:tabs>
        <w:tab w:val="center" w:pos="4513"/>
        <w:tab w:val="right" w:pos="9026"/>
      </w:tabs>
      <w:snapToGrid w:val="0"/>
    </w:pPr>
  </w:style>
  <w:style w:type="character" w:customStyle="1" w:styleId="HeaderChar">
    <w:name w:val="Header Char"/>
    <w:basedOn w:val="DefaultParagraphFont"/>
    <w:link w:val="Header"/>
    <w:uiPriority w:val="99"/>
    <w:rsid w:val="003F0C0F"/>
  </w:style>
  <w:style w:type="paragraph" w:styleId="Footer">
    <w:name w:val="footer"/>
    <w:basedOn w:val="Normal"/>
    <w:link w:val="FooterChar"/>
    <w:uiPriority w:val="99"/>
    <w:unhideWhenUsed/>
    <w:rsid w:val="003F0C0F"/>
    <w:pPr>
      <w:tabs>
        <w:tab w:val="center" w:pos="4513"/>
        <w:tab w:val="right" w:pos="9026"/>
      </w:tabs>
      <w:snapToGrid w:val="0"/>
    </w:pPr>
  </w:style>
  <w:style w:type="character" w:customStyle="1" w:styleId="FooterChar">
    <w:name w:val="Footer Char"/>
    <w:basedOn w:val="DefaultParagraphFont"/>
    <w:link w:val="Footer"/>
    <w:uiPriority w:val="99"/>
    <w:rsid w:val="003F0C0F"/>
  </w:style>
  <w:style w:type="character" w:styleId="Hyperlink">
    <w:name w:val="Hyperlink"/>
    <w:basedOn w:val="DefaultParagraphFont"/>
    <w:uiPriority w:val="99"/>
    <w:unhideWhenUsed/>
    <w:rsid w:val="00710C45"/>
    <w:rPr>
      <w:color w:val="0000FF" w:themeColor="hyperlink"/>
      <w:u w:val="single"/>
    </w:rPr>
  </w:style>
  <w:style w:type="character" w:styleId="CommentReference">
    <w:name w:val="annotation reference"/>
    <w:basedOn w:val="DefaultParagraphFont"/>
    <w:uiPriority w:val="99"/>
    <w:semiHidden/>
    <w:unhideWhenUsed/>
    <w:rsid w:val="003B0FE0"/>
    <w:rPr>
      <w:sz w:val="18"/>
      <w:szCs w:val="18"/>
    </w:rPr>
  </w:style>
  <w:style w:type="paragraph" w:styleId="CommentText">
    <w:name w:val="annotation text"/>
    <w:basedOn w:val="Normal"/>
    <w:link w:val="CommentTextChar"/>
    <w:uiPriority w:val="99"/>
    <w:semiHidden/>
    <w:unhideWhenUsed/>
    <w:rsid w:val="003B0FE0"/>
    <w:pPr>
      <w:jc w:val="left"/>
    </w:pPr>
  </w:style>
  <w:style w:type="character" w:customStyle="1" w:styleId="CommentTextChar">
    <w:name w:val="Comment Text Char"/>
    <w:basedOn w:val="DefaultParagraphFont"/>
    <w:link w:val="CommentText"/>
    <w:uiPriority w:val="99"/>
    <w:semiHidden/>
    <w:rsid w:val="003B0FE0"/>
  </w:style>
  <w:style w:type="paragraph" w:styleId="CommentSubject">
    <w:name w:val="annotation subject"/>
    <w:basedOn w:val="CommentText"/>
    <w:next w:val="CommentText"/>
    <w:link w:val="CommentSubjectChar"/>
    <w:uiPriority w:val="99"/>
    <w:semiHidden/>
    <w:unhideWhenUsed/>
    <w:rsid w:val="003B0FE0"/>
    <w:rPr>
      <w:b/>
      <w:bCs/>
    </w:rPr>
  </w:style>
  <w:style w:type="character" w:customStyle="1" w:styleId="CommentSubjectChar">
    <w:name w:val="Comment Subject Char"/>
    <w:basedOn w:val="CommentTextChar"/>
    <w:link w:val="CommentSubject"/>
    <w:uiPriority w:val="99"/>
    <w:semiHidden/>
    <w:rsid w:val="003B0FE0"/>
    <w:rPr>
      <w:b/>
      <w:bCs/>
    </w:rPr>
  </w:style>
  <w:style w:type="paragraph" w:styleId="ListParagraph">
    <w:name w:val="List Paragraph"/>
    <w:basedOn w:val="Normal"/>
    <w:uiPriority w:val="34"/>
    <w:qFormat/>
    <w:rsid w:val="006C7CF4"/>
    <w:pPr>
      <w:ind w:leftChars="400" w:left="800"/>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636966-F6DB-408A-A6DD-7FB68CAB8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38</Pages>
  <Words>22227</Words>
  <Characters>126694</Characters>
  <Application>Microsoft Office Word</Application>
  <DocSecurity>0</DocSecurity>
  <Lines>1055</Lines>
  <Paragraphs>297</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148624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 Yunxiao</dc:creator>
  <cp:lastModifiedBy>user</cp:lastModifiedBy>
  <cp:revision>10</cp:revision>
  <cp:lastPrinted>2016-04-05T06:36:00Z</cp:lastPrinted>
  <dcterms:created xsi:type="dcterms:W3CDTF">2016-04-05T13:32:00Z</dcterms:created>
  <dcterms:modified xsi:type="dcterms:W3CDTF">2016-04-06T04:48:00Z</dcterms:modified>
</cp:coreProperties>
</file>