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193B" w:rsidRPr="00612DE5" w:rsidRDefault="00E0193B" w:rsidP="00833D4E">
      <w:pPr>
        <w:jc w:val="center"/>
        <w:rPr>
          <w:rFonts w:ascii="Times New Roman" w:hAnsi="Times New Roman" w:cs="Times New Roman"/>
          <w:b/>
          <w:sz w:val="46"/>
          <w:szCs w:val="46"/>
        </w:rPr>
      </w:pPr>
      <w:r w:rsidRPr="00612DE5">
        <w:rPr>
          <w:rFonts w:ascii="Times New Roman" w:hAnsi="Times New Roman" w:cs="Times New Roman" w:hint="eastAsia"/>
          <w:b/>
          <w:sz w:val="46"/>
          <w:szCs w:val="46"/>
        </w:rPr>
        <w:t>시장</w:t>
      </w:r>
      <w:r w:rsidRPr="00612DE5">
        <w:rPr>
          <w:rFonts w:ascii="Times New Roman" w:hAnsi="Times New Roman" w:cs="Times New Roman" w:hint="eastAsia"/>
          <w:b/>
          <w:sz w:val="46"/>
          <w:szCs w:val="46"/>
        </w:rPr>
        <w:t>-</w:t>
      </w:r>
      <w:r w:rsidRPr="00612DE5">
        <w:rPr>
          <w:rFonts w:ascii="Times New Roman" w:hAnsi="Times New Roman" w:cs="Times New Roman" w:hint="eastAsia"/>
          <w:b/>
          <w:sz w:val="46"/>
          <w:szCs w:val="46"/>
        </w:rPr>
        <w:t>장부가</w:t>
      </w:r>
      <w:r w:rsidRPr="00612DE5">
        <w:rPr>
          <w:rFonts w:ascii="Times New Roman" w:hAnsi="Times New Roman" w:cs="Times New Roman" w:hint="eastAsia"/>
          <w:b/>
          <w:sz w:val="46"/>
          <w:szCs w:val="46"/>
        </w:rPr>
        <w:t xml:space="preserve"> </w:t>
      </w:r>
      <w:r w:rsidRPr="00612DE5">
        <w:rPr>
          <w:rFonts w:ascii="Times New Roman" w:hAnsi="Times New Roman" w:cs="Times New Roman" w:hint="eastAsia"/>
          <w:b/>
          <w:sz w:val="46"/>
          <w:szCs w:val="46"/>
        </w:rPr>
        <w:t>비율의</w:t>
      </w:r>
      <w:r w:rsidRPr="00612DE5">
        <w:rPr>
          <w:rFonts w:ascii="Times New Roman" w:hAnsi="Times New Roman" w:cs="Times New Roman" w:hint="eastAsia"/>
          <w:b/>
          <w:sz w:val="46"/>
          <w:szCs w:val="46"/>
        </w:rPr>
        <w:t xml:space="preserve"> </w:t>
      </w:r>
      <w:r w:rsidRPr="00612DE5">
        <w:rPr>
          <w:rFonts w:ascii="Times New Roman" w:hAnsi="Times New Roman" w:cs="Times New Roman" w:hint="eastAsia"/>
          <w:b/>
          <w:sz w:val="46"/>
          <w:szCs w:val="46"/>
        </w:rPr>
        <w:t>절대가치와</w:t>
      </w:r>
      <w:r w:rsidRPr="00612DE5">
        <w:rPr>
          <w:rFonts w:ascii="Times New Roman" w:hAnsi="Times New Roman" w:cs="Times New Roman" w:hint="eastAsia"/>
          <w:b/>
          <w:sz w:val="46"/>
          <w:szCs w:val="46"/>
        </w:rPr>
        <w:t xml:space="preserve"> </w:t>
      </w:r>
      <w:r w:rsidRPr="00612DE5">
        <w:rPr>
          <w:rFonts w:ascii="Times New Roman" w:hAnsi="Times New Roman" w:cs="Times New Roman" w:hint="eastAsia"/>
          <w:b/>
          <w:sz w:val="46"/>
          <w:szCs w:val="46"/>
        </w:rPr>
        <w:t>변화가치가</w:t>
      </w:r>
      <w:r w:rsidRPr="00612DE5">
        <w:rPr>
          <w:rFonts w:ascii="Times New Roman" w:hAnsi="Times New Roman" w:cs="Times New Roman" w:hint="eastAsia"/>
          <w:b/>
          <w:sz w:val="46"/>
          <w:szCs w:val="46"/>
        </w:rPr>
        <w:t xml:space="preserve"> </w:t>
      </w:r>
      <w:r w:rsidRPr="00612DE5">
        <w:rPr>
          <w:rFonts w:ascii="Times New Roman" w:hAnsi="Times New Roman" w:cs="Times New Roman" w:hint="eastAsia"/>
          <w:b/>
          <w:sz w:val="46"/>
          <w:szCs w:val="46"/>
        </w:rPr>
        <w:t>주식</w:t>
      </w:r>
      <w:r w:rsidRPr="00612DE5">
        <w:rPr>
          <w:rFonts w:ascii="Times New Roman" w:hAnsi="Times New Roman" w:cs="Times New Roman" w:hint="eastAsia"/>
          <w:b/>
          <w:sz w:val="46"/>
          <w:szCs w:val="46"/>
        </w:rPr>
        <w:t xml:space="preserve"> </w:t>
      </w:r>
      <w:r w:rsidRPr="00612DE5">
        <w:rPr>
          <w:rFonts w:ascii="Times New Roman" w:hAnsi="Times New Roman" w:cs="Times New Roman" w:hint="eastAsia"/>
          <w:b/>
          <w:sz w:val="46"/>
          <w:szCs w:val="46"/>
        </w:rPr>
        <w:t>수익율에</w:t>
      </w:r>
      <w:r w:rsidRPr="00612DE5">
        <w:rPr>
          <w:rFonts w:ascii="Times New Roman" w:hAnsi="Times New Roman" w:cs="Times New Roman" w:hint="eastAsia"/>
          <w:b/>
          <w:sz w:val="46"/>
          <w:szCs w:val="46"/>
        </w:rPr>
        <w:t xml:space="preserve"> </w:t>
      </w:r>
      <w:r w:rsidRPr="00612DE5">
        <w:rPr>
          <w:rFonts w:ascii="Times New Roman" w:hAnsi="Times New Roman" w:cs="Times New Roman" w:hint="eastAsia"/>
          <w:b/>
          <w:sz w:val="46"/>
          <w:szCs w:val="46"/>
        </w:rPr>
        <w:t>미치는</w:t>
      </w:r>
      <w:r w:rsidRPr="00612DE5">
        <w:rPr>
          <w:rFonts w:ascii="Times New Roman" w:hAnsi="Times New Roman" w:cs="Times New Roman" w:hint="eastAsia"/>
          <w:b/>
          <w:sz w:val="46"/>
          <w:szCs w:val="46"/>
        </w:rPr>
        <w:t xml:space="preserve"> </w:t>
      </w:r>
      <w:r w:rsidRPr="00612DE5">
        <w:rPr>
          <w:rFonts w:ascii="Times New Roman" w:hAnsi="Times New Roman" w:cs="Times New Roman" w:hint="eastAsia"/>
          <w:b/>
          <w:sz w:val="46"/>
          <w:szCs w:val="46"/>
        </w:rPr>
        <w:t>영향</w:t>
      </w:r>
    </w:p>
    <w:p w:rsidR="00833D4E" w:rsidRPr="00612DE5" w:rsidRDefault="00833D4E" w:rsidP="00833D4E">
      <w:pPr>
        <w:jc w:val="center"/>
        <w:rPr>
          <w:rFonts w:ascii="Times New Roman" w:hAnsi="Times New Roman" w:cs="Times New Roman"/>
          <w:b/>
          <w:sz w:val="46"/>
          <w:szCs w:val="46"/>
        </w:rPr>
      </w:pPr>
      <w:r w:rsidRPr="00612DE5">
        <w:rPr>
          <w:rFonts w:ascii="Times New Roman" w:hAnsi="Times New Roman" w:cs="Times New Roman"/>
          <w:b/>
          <w:sz w:val="46"/>
          <w:szCs w:val="46"/>
        </w:rPr>
        <w:t>The P/B Ratio: Level versus Change</w:t>
      </w:r>
    </w:p>
    <w:p w:rsidR="00833D4E" w:rsidRPr="00833D4E" w:rsidRDefault="00833D4E" w:rsidP="00833D4E">
      <w:pPr>
        <w:jc w:val="center"/>
        <w:rPr>
          <w:rFonts w:ascii="Times New Roman" w:hAnsi="Times New Roman" w:cs="Times New Roman"/>
          <w:b/>
        </w:rPr>
      </w:pPr>
    </w:p>
    <w:p w:rsidR="00833D4E" w:rsidRPr="00833D4E" w:rsidRDefault="00455040" w:rsidP="00833D4E">
      <w:pPr>
        <w:spacing w:after="0" w:line="240" w:lineRule="auto"/>
        <w:jc w:val="center"/>
        <w:rPr>
          <w:rFonts w:ascii="Times New Roman" w:hAnsi="Times New Roman" w:cs="Times New Roman"/>
        </w:rPr>
      </w:pPr>
      <w:r>
        <w:rPr>
          <w:rFonts w:ascii="Times New Roman" w:hAnsi="Times New Roman" w:cs="Times New Roman"/>
        </w:rPr>
        <w:t>Seung</w:t>
      </w:r>
      <w:r>
        <w:rPr>
          <w:rFonts w:ascii="Times New Roman" w:hAnsi="Times New Roman" w:cs="Times New Roman" w:hint="eastAsia"/>
        </w:rPr>
        <w:t xml:space="preserve"> </w:t>
      </w:r>
      <w:r w:rsidR="00B30E5A">
        <w:rPr>
          <w:rFonts w:ascii="Times New Roman" w:hAnsi="Times New Roman" w:cs="Times New Roman"/>
        </w:rPr>
        <w:t xml:space="preserve">Woog </w:t>
      </w:r>
      <w:r w:rsidR="00833D4E" w:rsidRPr="00833D4E">
        <w:rPr>
          <w:rFonts w:ascii="Times New Roman" w:hAnsi="Times New Roman" w:cs="Times New Roman"/>
        </w:rPr>
        <w:t>Kwag</w:t>
      </w:r>
      <w:r w:rsidR="00833D4E" w:rsidRPr="00833D4E">
        <w:rPr>
          <w:rStyle w:val="aa"/>
          <w:rFonts w:ascii="Times New Roman" w:hAnsi="Times New Roman" w:cs="Times New Roman"/>
        </w:rPr>
        <w:footnoteReference w:customMarkFollows="1" w:id="1"/>
        <w:t>*</w:t>
      </w:r>
      <w:r w:rsidR="00833D4E" w:rsidRPr="00833D4E">
        <w:rPr>
          <w:rFonts w:ascii="Times New Roman" w:hAnsi="Times New Roman" w:cs="Times New Roman"/>
        </w:rPr>
        <w:t xml:space="preserve"> </w:t>
      </w:r>
    </w:p>
    <w:p w:rsidR="00833D4E" w:rsidRPr="00833D4E" w:rsidRDefault="00833D4E" w:rsidP="00833D4E">
      <w:pPr>
        <w:spacing w:after="0" w:line="240" w:lineRule="auto"/>
        <w:jc w:val="center"/>
        <w:rPr>
          <w:rFonts w:ascii="Times New Roman" w:hAnsi="Times New Roman" w:cs="Times New Roman"/>
        </w:rPr>
      </w:pPr>
      <w:r w:rsidRPr="00833D4E">
        <w:rPr>
          <w:rFonts w:ascii="Times New Roman" w:hAnsi="Times New Roman" w:cs="Times New Roman"/>
        </w:rPr>
        <w:t xml:space="preserve">Associate Professor of Finance </w:t>
      </w:r>
    </w:p>
    <w:p w:rsidR="00833D4E" w:rsidRPr="00833D4E" w:rsidRDefault="00833D4E" w:rsidP="00833D4E">
      <w:pPr>
        <w:spacing w:after="0" w:line="240" w:lineRule="auto"/>
        <w:jc w:val="center"/>
        <w:rPr>
          <w:rFonts w:ascii="Times New Roman" w:hAnsi="Times New Roman" w:cs="Times New Roman"/>
        </w:rPr>
      </w:pPr>
      <w:r w:rsidRPr="00833D4E">
        <w:rPr>
          <w:rFonts w:ascii="Times New Roman" w:hAnsi="Times New Roman" w:cs="Times New Roman"/>
        </w:rPr>
        <w:t>Division of Business Administration</w:t>
      </w:r>
    </w:p>
    <w:p w:rsidR="00833D4E" w:rsidRPr="00833D4E" w:rsidRDefault="00833D4E" w:rsidP="00833D4E">
      <w:pPr>
        <w:spacing w:after="0" w:line="240" w:lineRule="auto"/>
        <w:jc w:val="center"/>
        <w:rPr>
          <w:rFonts w:ascii="Times New Roman" w:hAnsi="Times New Roman" w:cs="Times New Roman"/>
        </w:rPr>
      </w:pPr>
      <w:r w:rsidRPr="00833D4E">
        <w:rPr>
          <w:rFonts w:ascii="Times New Roman" w:hAnsi="Times New Roman" w:cs="Times New Roman"/>
        </w:rPr>
        <w:t>College of Economics and Business Administration</w:t>
      </w:r>
    </w:p>
    <w:p w:rsidR="00833D4E" w:rsidRPr="00833D4E" w:rsidRDefault="00833D4E" w:rsidP="00833D4E">
      <w:pPr>
        <w:spacing w:after="0" w:line="240" w:lineRule="auto"/>
        <w:jc w:val="center"/>
        <w:rPr>
          <w:rFonts w:ascii="Times New Roman" w:hAnsi="Times New Roman" w:cs="Times New Roman"/>
        </w:rPr>
      </w:pPr>
      <w:r w:rsidRPr="00833D4E">
        <w:rPr>
          <w:rFonts w:ascii="Times New Roman" w:hAnsi="Times New Roman" w:cs="Times New Roman"/>
        </w:rPr>
        <w:t>Sookmyung Women’s University</w:t>
      </w:r>
    </w:p>
    <w:p w:rsidR="00833D4E" w:rsidRPr="00833D4E" w:rsidRDefault="00833D4E" w:rsidP="00833D4E">
      <w:pPr>
        <w:spacing w:after="0" w:line="240" w:lineRule="auto"/>
        <w:jc w:val="center"/>
        <w:rPr>
          <w:rFonts w:ascii="Times New Roman" w:hAnsi="Times New Roman" w:cs="Times New Roman"/>
        </w:rPr>
      </w:pPr>
      <w:r w:rsidRPr="00833D4E">
        <w:rPr>
          <w:rFonts w:ascii="Times New Roman" w:hAnsi="Times New Roman" w:cs="Times New Roman"/>
        </w:rPr>
        <w:t>Seoul, Korea 140-742</w:t>
      </w:r>
    </w:p>
    <w:p w:rsidR="00833D4E" w:rsidRPr="00833D4E" w:rsidRDefault="00833D4E" w:rsidP="00833D4E">
      <w:pPr>
        <w:spacing w:after="0" w:line="240" w:lineRule="auto"/>
        <w:jc w:val="center"/>
        <w:rPr>
          <w:rFonts w:ascii="Times New Roman" w:hAnsi="Times New Roman" w:cs="Times New Roman"/>
        </w:rPr>
      </w:pPr>
      <w:r w:rsidRPr="00833D4E">
        <w:rPr>
          <w:rFonts w:ascii="Times New Roman" w:hAnsi="Times New Roman" w:cs="Times New Roman"/>
        </w:rPr>
        <w:t>82-2-2077-7559 voice</w:t>
      </w:r>
    </w:p>
    <w:p w:rsidR="00833D4E" w:rsidRPr="00833D4E" w:rsidRDefault="00833D4E" w:rsidP="00833D4E">
      <w:pPr>
        <w:spacing w:after="0" w:line="240" w:lineRule="auto"/>
        <w:jc w:val="center"/>
        <w:rPr>
          <w:rFonts w:ascii="Times New Roman" w:hAnsi="Times New Roman" w:cs="Times New Roman"/>
        </w:rPr>
      </w:pPr>
      <w:r w:rsidRPr="00833D4E">
        <w:rPr>
          <w:rFonts w:ascii="Times New Roman" w:hAnsi="Times New Roman" w:cs="Times New Roman"/>
        </w:rPr>
        <w:t>82-2-710-9527 fax</w:t>
      </w:r>
    </w:p>
    <w:p w:rsidR="00833D4E" w:rsidRPr="00833D4E" w:rsidRDefault="006168FF" w:rsidP="00833D4E">
      <w:pPr>
        <w:spacing w:after="0" w:line="240" w:lineRule="auto"/>
        <w:jc w:val="center"/>
        <w:rPr>
          <w:rFonts w:ascii="Times New Roman" w:hAnsi="Times New Roman" w:cs="Times New Roman"/>
        </w:rPr>
      </w:pPr>
      <w:r>
        <w:rPr>
          <w:rFonts w:ascii="Times New Roman" w:hAnsi="Times New Roman" w:cs="Times New Roman" w:hint="eastAsia"/>
        </w:rPr>
        <w:t>s</w:t>
      </w:r>
      <w:r w:rsidR="00833D4E" w:rsidRPr="00833D4E">
        <w:rPr>
          <w:rFonts w:ascii="Times New Roman" w:hAnsi="Times New Roman" w:cs="Times New Roman"/>
        </w:rPr>
        <w:t>wkwag@sookmyung.ac.kr</w:t>
      </w:r>
    </w:p>
    <w:p w:rsidR="00E0193B" w:rsidRDefault="00E0193B" w:rsidP="00612DE5">
      <w:pPr>
        <w:spacing w:after="0"/>
        <w:rPr>
          <w:rFonts w:ascii="Times New Roman" w:hAnsi="Times New Roman" w:cs="Times New Roman"/>
          <w:b/>
        </w:rPr>
      </w:pPr>
      <w:r>
        <w:rPr>
          <w:rFonts w:ascii="Times New Roman" w:hAnsi="Times New Roman" w:cs="Times New Roman" w:hint="eastAsia"/>
          <w:b/>
        </w:rPr>
        <w:t>초록</w:t>
      </w:r>
      <w:r>
        <w:rPr>
          <w:rFonts w:ascii="Times New Roman" w:hAnsi="Times New Roman" w:cs="Times New Roman" w:hint="eastAsia"/>
          <w:b/>
        </w:rPr>
        <w:t>:</w:t>
      </w:r>
    </w:p>
    <w:p w:rsidR="005C6999" w:rsidRDefault="00E0193B" w:rsidP="00612DE5">
      <w:pPr>
        <w:spacing w:after="0"/>
        <w:rPr>
          <w:rFonts w:ascii="Times New Roman" w:hAnsi="Times New Roman" w:cs="Times New Roman"/>
        </w:rPr>
      </w:pPr>
      <w:r w:rsidRPr="00E0193B">
        <w:rPr>
          <w:rFonts w:ascii="Times New Roman" w:hAnsi="Times New Roman" w:cs="Times New Roman" w:hint="eastAsia"/>
        </w:rPr>
        <w:t>본</w:t>
      </w:r>
      <w:r w:rsidRPr="00E0193B">
        <w:rPr>
          <w:rFonts w:ascii="Times New Roman" w:hAnsi="Times New Roman" w:cs="Times New Roman" w:hint="eastAsia"/>
        </w:rPr>
        <w:t xml:space="preserve"> </w:t>
      </w:r>
      <w:r w:rsidRPr="00E0193B">
        <w:rPr>
          <w:rFonts w:ascii="Times New Roman" w:hAnsi="Times New Roman" w:cs="Times New Roman" w:hint="eastAsia"/>
        </w:rPr>
        <w:t>연구</w:t>
      </w:r>
      <w:r>
        <w:rPr>
          <w:rFonts w:ascii="Times New Roman" w:hAnsi="Times New Roman" w:cs="Times New Roman" w:hint="eastAsia"/>
        </w:rPr>
        <w:t>는</w:t>
      </w:r>
      <w:r>
        <w:rPr>
          <w:rFonts w:ascii="Times New Roman" w:hAnsi="Times New Roman" w:cs="Times New Roman" w:hint="eastAsia"/>
        </w:rPr>
        <w:t xml:space="preserve"> </w:t>
      </w:r>
      <w:r>
        <w:rPr>
          <w:rFonts w:ascii="Times New Roman" w:hAnsi="Times New Roman" w:cs="Times New Roman" w:hint="eastAsia"/>
        </w:rPr>
        <w:t>주식가격</w:t>
      </w:r>
      <w:r>
        <w:rPr>
          <w:rFonts w:ascii="Times New Roman" w:hAnsi="Times New Roman" w:cs="Times New Roman" w:hint="eastAsia"/>
        </w:rPr>
        <w:t xml:space="preserve"> </w:t>
      </w:r>
      <w:r>
        <w:rPr>
          <w:rFonts w:ascii="Times New Roman" w:hAnsi="Times New Roman" w:cs="Times New Roman" w:hint="eastAsia"/>
        </w:rPr>
        <w:t>예측에</w:t>
      </w:r>
      <w:r>
        <w:rPr>
          <w:rFonts w:ascii="Times New Roman" w:hAnsi="Times New Roman" w:cs="Times New Roman" w:hint="eastAsia"/>
        </w:rPr>
        <w:t xml:space="preserve"> </w:t>
      </w:r>
      <w:r>
        <w:rPr>
          <w:rFonts w:ascii="Times New Roman" w:hAnsi="Times New Roman" w:cs="Times New Roman" w:hint="eastAsia"/>
        </w:rPr>
        <w:t>광범위하게</w:t>
      </w:r>
      <w:r>
        <w:rPr>
          <w:rFonts w:ascii="Times New Roman" w:hAnsi="Times New Roman" w:cs="Times New Roman" w:hint="eastAsia"/>
        </w:rPr>
        <w:t xml:space="preserve"> </w:t>
      </w:r>
      <w:r>
        <w:rPr>
          <w:rFonts w:ascii="Times New Roman" w:hAnsi="Times New Roman" w:cs="Times New Roman" w:hint="eastAsia"/>
        </w:rPr>
        <w:t>이용되어온</w:t>
      </w:r>
      <w:r>
        <w:rPr>
          <w:rFonts w:ascii="Times New Roman" w:hAnsi="Times New Roman" w:cs="Times New Roman" w:hint="eastAsia"/>
        </w:rPr>
        <w:t xml:space="preserve"> </w:t>
      </w:r>
      <w:r>
        <w:rPr>
          <w:rFonts w:ascii="Times New Roman" w:hAnsi="Times New Roman" w:cs="Times New Roman" w:hint="eastAsia"/>
        </w:rPr>
        <w:t>시장</w:t>
      </w:r>
      <w:r>
        <w:rPr>
          <w:rFonts w:ascii="Times New Roman" w:hAnsi="Times New Roman" w:cs="Times New Roman" w:hint="eastAsia"/>
        </w:rPr>
        <w:t>-</w:t>
      </w:r>
      <w:r>
        <w:rPr>
          <w:rFonts w:ascii="Times New Roman" w:hAnsi="Times New Roman" w:cs="Times New Roman" w:hint="eastAsia"/>
        </w:rPr>
        <w:t>장부가</w:t>
      </w:r>
      <w:r>
        <w:rPr>
          <w:rFonts w:ascii="Times New Roman" w:hAnsi="Times New Roman" w:cs="Times New Roman" w:hint="eastAsia"/>
        </w:rPr>
        <w:t xml:space="preserve"> </w:t>
      </w:r>
      <w:r>
        <w:rPr>
          <w:rFonts w:ascii="Times New Roman" w:hAnsi="Times New Roman" w:cs="Times New Roman" w:hint="eastAsia"/>
        </w:rPr>
        <w:t>비율에</w:t>
      </w:r>
      <w:r>
        <w:rPr>
          <w:rFonts w:ascii="Times New Roman" w:hAnsi="Times New Roman" w:cs="Times New Roman" w:hint="eastAsia"/>
        </w:rPr>
        <w:t xml:space="preserve"> </w:t>
      </w:r>
      <w:r>
        <w:rPr>
          <w:rFonts w:ascii="Times New Roman" w:hAnsi="Times New Roman" w:cs="Times New Roman" w:hint="eastAsia"/>
        </w:rPr>
        <w:t>대한</w:t>
      </w:r>
      <w:r>
        <w:rPr>
          <w:rFonts w:ascii="Times New Roman" w:hAnsi="Times New Roman" w:cs="Times New Roman" w:hint="eastAsia"/>
        </w:rPr>
        <w:t xml:space="preserve"> </w:t>
      </w:r>
      <w:r>
        <w:rPr>
          <w:rFonts w:ascii="Times New Roman" w:hAnsi="Times New Roman" w:cs="Times New Roman" w:hint="eastAsia"/>
        </w:rPr>
        <w:t>새로운</w:t>
      </w:r>
      <w:r>
        <w:rPr>
          <w:rFonts w:ascii="Times New Roman" w:hAnsi="Times New Roman" w:cs="Times New Roman" w:hint="eastAsia"/>
        </w:rPr>
        <w:t xml:space="preserve"> </w:t>
      </w:r>
      <w:r>
        <w:rPr>
          <w:rFonts w:ascii="Times New Roman" w:hAnsi="Times New Roman" w:cs="Times New Roman" w:hint="eastAsia"/>
        </w:rPr>
        <w:t>조명을</w:t>
      </w:r>
      <w:r>
        <w:rPr>
          <w:rFonts w:ascii="Times New Roman" w:hAnsi="Times New Roman" w:cs="Times New Roman" w:hint="eastAsia"/>
        </w:rPr>
        <w:t xml:space="preserve"> </w:t>
      </w:r>
      <w:r>
        <w:rPr>
          <w:rFonts w:ascii="Times New Roman" w:hAnsi="Times New Roman" w:cs="Times New Roman" w:hint="eastAsia"/>
        </w:rPr>
        <w:t>시도한다</w:t>
      </w:r>
      <w:r>
        <w:rPr>
          <w:rFonts w:ascii="Times New Roman" w:hAnsi="Times New Roman" w:cs="Times New Roman" w:hint="eastAsia"/>
        </w:rPr>
        <w:t xml:space="preserve">. </w:t>
      </w:r>
      <w:r>
        <w:rPr>
          <w:rFonts w:ascii="Times New Roman" w:hAnsi="Times New Roman" w:cs="Times New Roman" w:hint="eastAsia"/>
        </w:rPr>
        <w:t>기존연구들은</w:t>
      </w:r>
      <w:r>
        <w:rPr>
          <w:rFonts w:ascii="Times New Roman" w:hAnsi="Times New Roman" w:cs="Times New Roman" w:hint="eastAsia"/>
        </w:rPr>
        <w:t xml:space="preserve"> </w:t>
      </w:r>
      <w:r>
        <w:rPr>
          <w:rFonts w:ascii="Times New Roman" w:hAnsi="Times New Roman" w:cs="Times New Roman" w:hint="eastAsia"/>
        </w:rPr>
        <w:t>시장</w:t>
      </w:r>
      <w:r>
        <w:rPr>
          <w:rFonts w:ascii="Times New Roman" w:hAnsi="Times New Roman" w:cs="Times New Roman" w:hint="eastAsia"/>
        </w:rPr>
        <w:t>-</w:t>
      </w:r>
      <w:r>
        <w:rPr>
          <w:rFonts w:ascii="Times New Roman" w:hAnsi="Times New Roman" w:cs="Times New Roman" w:hint="eastAsia"/>
        </w:rPr>
        <w:t>장부가</w:t>
      </w:r>
      <w:r>
        <w:rPr>
          <w:rFonts w:ascii="Times New Roman" w:hAnsi="Times New Roman" w:cs="Times New Roman" w:hint="eastAsia"/>
        </w:rPr>
        <w:t xml:space="preserve"> </w:t>
      </w:r>
      <w:r>
        <w:rPr>
          <w:rFonts w:ascii="Times New Roman" w:hAnsi="Times New Roman" w:cs="Times New Roman" w:hint="eastAsia"/>
        </w:rPr>
        <w:t>비율의</w:t>
      </w:r>
      <w:r>
        <w:rPr>
          <w:rFonts w:ascii="Times New Roman" w:hAnsi="Times New Roman" w:cs="Times New Roman" w:hint="eastAsia"/>
        </w:rPr>
        <w:t xml:space="preserve"> </w:t>
      </w:r>
      <w:r>
        <w:rPr>
          <w:rFonts w:ascii="Times New Roman" w:hAnsi="Times New Roman" w:cs="Times New Roman" w:hint="eastAsia"/>
        </w:rPr>
        <w:t>절대가치에</w:t>
      </w:r>
      <w:r>
        <w:rPr>
          <w:rFonts w:ascii="Times New Roman" w:hAnsi="Times New Roman" w:cs="Times New Roman" w:hint="eastAsia"/>
        </w:rPr>
        <w:t xml:space="preserve"> </w:t>
      </w:r>
      <w:r>
        <w:rPr>
          <w:rFonts w:ascii="Times New Roman" w:hAnsi="Times New Roman" w:cs="Times New Roman" w:hint="eastAsia"/>
        </w:rPr>
        <w:t>초점을</w:t>
      </w:r>
      <w:r>
        <w:rPr>
          <w:rFonts w:ascii="Times New Roman" w:hAnsi="Times New Roman" w:cs="Times New Roman" w:hint="eastAsia"/>
        </w:rPr>
        <w:t xml:space="preserve"> </w:t>
      </w:r>
      <w:r>
        <w:rPr>
          <w:rFonts w:ascii="Times New Roman" w:hAnsi="Times New Roman" w:cs="Times New Roman" w:hint="eastAsia"/>
        </w:rPr>
        <w:t>맞추지만</w:t>
      </w:r>
      <w:r>
        <w:rPr>
          <w:rFonts w:ascii="Times New Roman" w:hAnsi="Times New Roman" w:cs="Times New Roman" w:hint="eastAsia"/>
        </w:rPr>
        <w:t xml:space="preserve"> </w:t>
      </w:r>
      <w:r>
        <w:rPr>
          <w:rFonts w:ascii="Times New Roman" w:hAnsi="Times New Roman" w:cs="Times New Roman" w:hint="eastAsia"/>
        </w:rPr>
        <w:t>본</w:t>
      </w:r>
      <w:r>
        <w:rPr>
          <w:rFonts w:ascii="Times New Roman" w:hAnsi="Times New Roman" w:cs="Times New Roman" w:hint="eastAsia"/>
        </w:rPr>
        <w:t xml:space="preserve"> </w:t>
      </w:r>
      <w:r>
        <w:rPr>
          <w:rFonts w:ascii="Times New Roman" w:hAnsi="Times New Roman" w:cs="Times New Roman" w:hint="eastAsia"/>
        </w:rPr>
        <w:t>연구는</w:t>
      </w:r>
      <w:r>
        <w:rPr>
          <w:rFonts w:ascii="Times New Roman" w:hAnsi="Times New Roman" w:cs="Times New Roman" w:hint="eastAsia"/>
        </w:rPr>
        <w:t xml:space="preserve"> </w:t>
      </w:r>
      <w:r>
        <w:rPr>
          <w:rFonts w:ascii="Times New Roman" w:hAnsi="Times New Roman" w:cs="Times New Roman" w:hint="eastAsia"/>
        </w:rPr>
        <w:t>변화가치</w:t>
      </w:r>
      <w:r w:rsidR="000D25A9">
        <w:rPr>
          <w:rFonts w:ascii="Times New Roman" w:hAnsi="Times New Roman" w:cs="Times New Roman" w:hint="eastAsia"/>
        </w:rPr>
        <w:t xml:space="preserve"> </w:t>
      </w:r>
      <w:r w:rsidR="000D25A9">
        <w:rPr>
          <w:rFonts w:ascii="Times New Roman" w:hAnsi="Times New Roman" w:cs="Times New Roman" w:hint="eastAsia"/>
        </w:rPr>
        <w:t>또는</w:t>
      </w:r>
      <w:r w:rsidR="000D25A9">
        <w:rPr>
          <w:rFonts w:ascii="Times New Roman" w:hAnsi="Times New Roman" w:cs="Times New Roman" w:hint="eastAsia"/>
        </w:rPr>
        <w:t xml:space="preserve"> </w:t>
      </w:r>
      <w:r w:rsidR="000D25A9">
        <w:rPr>
          <w:rFonts w:ascii="Times New Roman" w:hAnsi="Times New Roman" w:cs="Times New Roman" w:hint="eastAsia"/>
        </w:rPr>
        <w:t>델타</w:t>
      </w:r>
      <w:r>
        <w:rPr>
          <w:rFonts w:ascii="Times New Roman" w:hAnsi="Times New Roman" w:cs="Times New Roman" w:hint="eastAsia"/>
        </w:rPr>
        <w:t>에</w:t>
      </w:r>
      <w:r>
        <w:rPr>
          <w:rFonts w:ascii="Times New Roman" w:hAnsi="Times New Roman" w:cs="Times New Roman" w:hint="eastAsia"/>
        </w:rPr>
        <w:t xml:space="preserve"> </w:t>
      </w:r>
      <w:r>
        <w:rPr>
          <w:rFonts w:ascii="Times New Roman" w:hAnsi="Times New Roman" w:cs="Times New Roman" w:hint="eastAsia"/>
        </w:rPr>
        <w:t>주목한다</w:t>
      </w:r>
      <w:r>
        <w:rPr>
          <w:rFonts w:ascii="Times New Roman" w:hAnsi="Times New Roman" w:cs="Times New Roman" w:hint="eastAsia"/>
        </w:rPr>
        <w:t xml:space="preserve">. </w:t>
      </w:r>
      <w:r>
        <w:rPr>
          <w:rFonts w:ascii="Times New Roman" w:hAnsi="Times New Roman" w:cs="Times New Roman" w:hint="eastAsia"/>
        </w:rPr>
        <w:t>포트폴리오</w:t>
      </w:r>
      <w:r>
        <w:rPr>
          <w:rFonts w:ascii="Times New Roman" w:hAnsi="Times New Roman" w:cs="Times New Roman" w:hint="eastAsia"/>
        </w:rPr>
        <w:t xml:space="preserve"> </w:t>
      </w:r>
      <w:r>
        <w:rPr>
          <w:rFonts w:ascii="Times New Roman" w:hAnsi="Times New Roman" w:cs="Times New Roman" w:hint="eastAsia"/>
        </w:rPr>
        <w:t>수익률</w:t>
      </w:r>
      <w:r>
        <w:rPr>
          <w:rFonts w:ascii="Times New Roman" w:hAnsi="Times New Roman" w:cs="Times New Roman" w:hint="eastAsia"/>
        </w:rPr>
        <w:t xml:space="preserve"> </w:t>
      </w:r>
      <w:r>
        <w:rPr>
          <w:rFonts w:ascii="Times New Roman" w:hAnsi="Times New Roman" w:cs="Times New Roman" w:hint="eastAsia"/>
        </w:rPr>
        <w:t>분석과</w:t>
      </w:r>
      <w:r>
        <w:rPr>
          <w:rFonts w:ascii="Times New Roman" w:hAnsi="Times New Roman" w:cs="Times New Roman" w:hint="eastAsia"/>
        </w:rPr>
        <w:t xml:space="preserve"> </w:t>
      </w:r>
      <w:r>
        <w:rPr>
          <w:rFonts w:ascii="Times New Roman" w:hAnsi="Times New Roman" w:cs="Times New Roman" w:hint="eastAsia"/>
        </w:rPr>
        <w:t>동시적</w:t>
      </w:r>
      <w:r>
        <w:rPr>
          <w:rFonts w:ascii="Times New Roman" w:hAnsi="Times New Roman" w:cs="Times New Roman" w:hint="eastAsia"/>
        </w:rPr>
        <w:t xml:space="preserve"> </w:t>
      </w:r>
      <w:r>
        <w:rPr>
          <w:rFonts w:ascii="Times New Roman" w:hAnsi="Times New Roman" w:cs="Times New Roman" w:hint="eastAsia"/>
        </w:rPr>
        <w:t>패널</w:t>
      </w:r>
      <w:r>
        <w:rPr>
          <w:rFonts w:ascii="Times New Roman" w:hAnsi="Times New Roman" w:cs="Times New Roman" w:hint="eastAsia"/>
        </w:rPr>
        <w:t xml:space="preserve"> </w:t>
      </w:r>
      <w:r>
        <w:rPr>
          <w:rFonts w:ascii="Times New Roman" w:hAnsi="Times New Roman" w:cs="Times New Roman" w:hint="eastAsia"/>
        </w:rPr>
        <w:t>회귀분석</w:t>
      </w:r>
      <w:r>
        <w:rPr>
          <w:rFonts w:ascii="Times New Roman" w:hAnsi="Times New Roman" w:cs="Times New Roman" w:hint="eastAsia"/>
        </w:rPr>
        <w:t xml:space="preserve"> </w:t>
      </w:r>
      <w:r>
        <w:rPr>
          <w:rFonts w:ascii="Times New Roman" w:hAnsi="Times New Roman" w:cs="Times New Roman" w:hint="eastAsia"/>
        </w:rPr>
        <w:t>결과에</w:t>
      </w:r>
      <w:r>
        <w:rPr>
          <w:rFonts w:ascii="Times New Roman" w:hAnsi="Times New Roman" w:cs="Times New Roman" w:hint="eastAsia"/>
        </w:rPr>
        <w:t xml:space="preserve"> </w:t>
      </w:r>
      <w:r>
        <w:rPr>
          <w:rFonts w:ascii="Times New Roman" w:hAnsi="Times New Roman" w:cs="Times New Roman" w:hint="eastAsia"/>
        </w:rPr>
        <w:t>따르면</w:t>
      </w:r>
      <w:r>
        <w:rPr>
          <w:rFonts w:ascii="Times New Roman" w:hAnsi="Times New Roman" w:cs="Times New Roman" w:hint="eastAsia"/>
        </w:rPr>
        <w:t xml:space="preserve"> </w:t>
      </w:r>
      <w:r>
        <w:rPr>
          <w:rFonts w:ascii="Times New Roman" w:hAnsi="Times New Roman" w:cs="Times New Roman" w:hint="eastAsia"/>
        </w:rPr>
        <w:t>시장</w:t>
      </w:r>
      <w:r>
        <w:rPr>
          <w:rFonts w:ascii="Times New Roman" w:hAnsi="Times New Roman" w:cs="Times New Roman" w:hint="eastAsia"/>
        </w:rPr>
        <w:t>-</w:t>
      </w:r>
      <w:r>
        <w:rPr>
          <w:rFonts w:ascii="Times New Roman" w:hAnsi="Times New Roman" w:cs="Times New Roman" w:hint="eastAsia"/>
        </w:rPr>
        <w:t>장부가</w:t>
      </w:r>
      <w:r>
        <w:rPr>
          <w:rFonts w:ascii="Times New Roman" w:hAnsi="Times New Roman" w:cs="Times New Roman" w:hint="eastAsia"/>
        </w:rPr>
        <w:t xml:space="preserve"> </w:t>
      </w:r>
      <w:r>
        <w:rPr>
          <w:rFonts w:ascii="Times New Roman" w:hAnsi="Times New Roman" w:cs="Times New Roman" w:hint="eastAsia"/>
        </w:rPr>
        <w:t>비율의</w:t>
      </w:r>
      <w:r>
        <w:rPr>
          <w:rFonts w:ascii="Times New Roman" w:hAnsi="Times New Roman" w:cs="Times New Roman" w:hint="eastAsia"/>
        </w:rPr>
        <w:t xml:space="preserve"> </w:t>
      </w:r>
      <w:r w:rsidR="000D25A9">
        <w:rPr>
          <w:rFonts w:ascii="Times New Roman" w:hAnsi="Times New Roman" w:cs="Times New Roman" w:hint="eastAsia"/>
        </w:rPr>
        <w:t>델타</w:t>
      </w:r>
      <w:r>
        <w:rPr>
          <w:rFonts w:ascii="Times New Roman" w:hAnsi="Times New Roman" w:cs="Times New Roman" w:hint="eastAsia"/>
        </w:rPr>
        <w:t>가</w:t>
      </w:r>
      <w:r>
        <w:rPr>
          <w:rFonts w:ascii="Times New Roman" w:hAnsi="Times New Roman" w:cs="Times New Roman" w:hint="eastAsia"/>
        </w:rPr>
        <w:t xml:space="preserve"> </w:t>
      </w:r>
      <w:r>
        <w:rPr>
          <w:rFonts w:ascii="Times New Roman" w:hAnsi="Times New Roman" w:cs="Times New Roman" w:hint="eastAsia"/>
        </w:rPr>
        <w:t>절대가치보다</w:t>
      </w:r>
      <w:r>
        <w:rPr>
          <w:rFonts w:ascii="Times New Roman" w:hAnsi="Times New Roman" w:cs="Times New Roman" w:hint="eastAsia"/>
        </w:rPr>
        <w:t xml:space="preserve"> </w:t>
      </w:r>
      <w:r>
        <w:rPr>
          <w:rFonts w:ascii="Times New Roman" w:hAnsi="Times New Roman" w:cs="Times New Roman" w:hint="eastAsia"/>
        </w:rPr>
        <w:t>주식</w:t>
      </w:r>
      <w:r>
        <w:rPr>
          <w:rFonts w:ascii="Times New Roman" w:hAnsi="Times New Roman" w:cs="Times New Roman" w:hint="eastAsia"/>
        </w:rPr>
        <w:t xml:space="preserve"> </w:t>
      </w:r>
      <w:r>
        <w:rPr>
          <w:rFonts w:ascii="Times New Roman" w:hAnsi="Times New Roman" w:cs="Times New Roman" w:hint="eastAsia"/>
        </w:rPr>
        <w:t>수익률</w:t>
      </w:r>
      <w:r>
        <w:rPr>
          <w:rFonts w:ascii="Times New Roman" w:hAnsi="Times New Roman" w:cs="Times New Roman" w:hint="eastAsia"/>
        </w:rPr>
        <w:t xml:space="preserve"> </w:t>
      </w:r>
      <w:r>
        <w:rPr>
          <w:rFonts w:ascii="Times New Roman" w:hAnsi="Times New Roman" w:cs="Times New Roman" w:hint="eastAsia"/>
        </w:rPr>
        <w:t>예측에</w:t>
      </w:r>
      <w:r>
        <w:rPr>
          <w:rFonts w:ascii="Times New Roman" w:hAnsi="Times New Roman" w:cs="Times New Roman" w:hint="eastAsia"/>
        </w:rPr>
        <w:t xml:space="preserve"> </w:t>
      </w:r>
      <w:r>
        <w:rPr>
          <w:rFonts w:ascii="Times New Roman" w:hAnsi="Times New Roman" w:cs="Times New Roman" w:hint="eastAsia"/>
        </w:rPr>
        <w:t>더</w:t>
      </w:r>
      <w:r>
        <w:rPr>
          <w:rFonts w:ascii="Times New Roman" w:hAnsi="Times New Roman" w:cs="Times New Roman" w:hint="eastAsia"/>
        </w:rPr>
        <w:t xml:space="preserve"> </w:t>
      </w:r>
      <w:r>
        <w:rPr>
          <w:rFonts w:ascii="Times New Roman" w:hAnsi="Times New Roman" w:cs="Times New Roman" w:hint="eastAsia"/>
        </w:rPr>
        <w:t>기여하는</w:t>
      </w:r>
      <w:r>
        <w:rPr>
          <w:rFonts w:ascii="Times New Roman" w:hAnsi="Times New Roman" w:cs="Times New Roman" w:hint="eastAsia"/>
        </w:rPr>
        <w:t xml:space="preserve"> </w:t>
      </w:r>
      <w:r>
        <w:rPr>
          <w:rFonts w:ascii="Times New Roman" w:hAnsi="Times New Roman" w:cs="Times New Roman" w:hint="eastAsia"/>
        </w:rPr>
        <w:t>것으로</w:t>
      </w:r>
      <w:r>
        <w:rPr>
          <w:rFonts w:ascii="Times New Roman" w:hAnsi="Times New Roman" w:cs="Times New Roman" w:hint="eastAsia"/>
        </w:rPr>
        <w:t xml:space="preserve"> </w:t>
      </w:r>
      <w:r>
        <w:rPr>
          <w:rFonts w:ascii="Times New Roman" w:hAnsi="Times New Roman" w:cs="Times New Roman" w:hint="eastAsia"/>
        </w:rPr>
        <w:t>평가된다</w:t>
      </w:r>
      <w:r>
        <w:rPr>
          <w:rFonts w:ascii="Times New Roman" w:hAnsi="Times New Roman" w:cs="Times New Roman" w:hint="eastAsia"/>
        </w:rPr>
        <w:t xml:space="preserve">. </w:t>
      </w:r>
      <w:r>
        <w:rPr>
          <w:rFonts w:ascii="Times New Roman" w:hAnsi="Times New Roman" w:cs="Times New Roman" w:hint="eastAsia"/>
        </w:rPr>
        <w:t>프록시</w:t>
      </w:r>
      <w:r>
        <w:rPr>
          <w:rFonts w:ascii="Times New Roman" w:hAnsi="Times New Roman" w:cs="Times New Roman" w:hint="eastAsia"/>
        </w:rPr>
        <w:t xml:space="preserve"> </w:t>
      </w:r>
      <w:r w:rsidR="001565E4">
        <w:rPr>
          <w:rFonts w:ascii="Times New Roman" w:hAnsi="Times New Roman" w:cs="Times New Roman" w:hint="eastAsia"/>
        </w:rPr>
        <w:t>패널</w:t>
      </w:r>
      <w:r w:rsidR="001565E4">
        <w:rPr>
          <w:rFonts w:ascii="Times New Roman" w:hAnsi="Times New Roman" w:cs="Times New Roman" w:hint="eastAsia"/>
        </w:rPr>
        <w:t xml:space="preserve"> </w:t>
      </w:r>
      <w:r w:rsidR="001565E4">
        <w:rPr>
          <w:rFonts w:ascii="Times New Roman" w:hAnsi="Times New Roman" w:cs="Times New Roman" w:hint="eastAsia"/>
        </w:rPr>
        <w:t>회귀분석에서는</w:t>
      </w:r>
      <w:r w:rsidR="001565E4">
        <w:rPr>
          <w:rFonts w:ascii="Times New Roman" w:hAnsi="Times New Roman" w:cs="Times New Roman" w:hint="eastAsia"/>
        </w:rPr>
        <w:t xml:space="preserve"> </w:t>
      </w:r>
      <w:r w:rsidR="001565E4">
        <w:rPr>
          <w:rFonts w:ascii="Times New Roman" w:hAnsi="Times New Roman" w:cs="Times New Roman" w:hint="eastAsia"/>
        </w:rPr>
        <w:t>절대적</w:t>
      </w:r>
      <w:r w:rsidR="001565E4">
        <w:rPr>
          <w:rFonts w:ascii="Times New Roman" w:hAnsi="Times New Roman" w:cs="Times New Roman" w:hint="eastAsia"/>
        </w:rPr>
        <w:t xml:space="preserve"> </w:t>
      </w:r>
      <w:r w:rsidR="001565E4">
        <w:rPr>
          <w:rFonts w:ascii="Times New Roman" w:hAnsi="Times New Roman" w:cs="Times New Roman" w:hint="eastAsia"/>
        </w:rPr>
        <w:t>시장</w:t>
      </w:r>
      <w:r w:rsidR="001565E4">
        <w:rPr>
          <w:rFonts w:ascii="Times New Roman" w:hAnsi="Times New Roman" w:cs="Times New Roman" w:hint="eastAsia"/>
        </w:rPr>
        <w:t>-</w:t>
      </w:r>
      <w:r w:rsidR="001565E4">
        <w:rPr>
          <w:rFonts w:ascii="Times New Roman" w:hAnsi="Times New Roman" w:cs="Times New Roman" w:hint="eastAsia"/>
        </w:rPr>
        <w:t>장부가의</w:t>
      </w:r>
      <w:r w:rsidR="001565E4">
        <w:rPr>
          <w:rFonts w:ascii="Times New Roman" w:hAnsi="Times New Roman" w:cs="Times New Roman" w:hint="eastAsia"/>
        </w:rPr>
        <w:t xml:space="preserve"> </w:t>
      </w:r>
      <w:r w:rsidR="000D25A9">
        <w:rPr>
          <w:rFonts w:ascii="Times New Roman" w:hAnsi="Times New Roman" w:cs="Times New Roman" w:hint="eastAsia"/>
        </w:rPr>
        <w:t>역추세</w:t>
      </w:r>
      <w:r w:rsidR="000D25A9">
        <w:rPr>
          <w:rFonts w:ascii="Times New Roman" w:hAnsi="Times New Roman" w:cs="Times New Roman" w:hint="eastAsia"/>
        </w:rPr>
        <w:t xml:space="preserve"> </w:t>
      </w:r>
      <w:r w:rsidR="000D25A9">
        <w:rPr>
          <w:rFonts w:ascii="Times New Roman" w:hAnsi="Times New Roman" w:cs="Times New Roman" w:hint="eastAsia"/>
        </w:rPr>
        <w:t>현상과</w:t>
      </w:r>
      <w:r w:rsidR="000D25A9">
        <w:rPr>
          <w:rFonts w:ascii="Times New Roman" w:hAnsi="Times New Roman" w:cs="Times New Roman" w:hint="eastAsia"/>
        </w:rPr>
        <w:t xml:space="preserve"> </w:t>
      </w:r>
      <w:r w:rsidR="000D25A9">
        <w:rPr>
          <w:rFonts w:ascii="Times New Roman" w:hAnsi="Times New Roman" w:cs="Times New Roman" w:hint="eastAsia"/>
        </w:rPr>
        <w:t>델타</w:t>
      </w:r>
      <w:r w:rsidR="000D25A9">
        <w:rPr>
          <w:rFonts w:ascii="Times New Roman" w:hAnsi="Times New Roman" w:cs="Times New Roman" w:hint="eastAsia"/>
        </w:rPr>
        <w:t xml:space="preserve"> </w:t>
      </w:r>
      <w:r w:rsidR="000D25A9">
        <w:rPr>
          <w:rFonts w:ascii="Times New Roman" w:hAnsi="Times New Roman" w:cs="Times New Roman" w:hint="eastAsia"/>
        </w:rPr>
        <w:t>시장</w:t>
      </w:r>
      <w:r w:rsidR="000D25A9">
        <w:rPr>
          <w:rFonts w:ascii="Times New Roman" w:hAnsi="Times New Roman" w:cs="Times New Roman" w:hint="eastAsia"/>
        </w:rPr>
        <w:t>-</w:t>
      </w:r>
      <w:r w:rsidR="000D25A9">
        <w:rPr>
          <w:rFonts w:ascii="Times New Roman" w:hAnsi="Times New Roman" w:cs="Times New Roman" w:hint="eastAsia"/>
        </w:rPr>
        <w:t>장부가</w:t>
      </w:r>
      <w:r w:rsidR="005C6999">
        <w:rPr>
          <w:rFonts w:ascii="Times New Roman" w:hAnsi="Times New Roman" w:cs="Times New Roman" w:hint="eastAsia"/>
        </w:rPr>
        <w:t xml:space="preserve"> (</w:t>
      </w:r>
      <w:r w:rsidR="005C6999">
        <w:rPr>
          <w:rFonts w:ascii="Times New Roman" w:hAnsi="Times New Roman" w:cs="Times New Roman" w:hint="eastAsia"/>
        </w:rPr>
        <w:t>혹은</w:t>
      </w:r>
      <w:r w:rsidR="005C6999">
        <w:rPr>
          <w:rFonts w:ascii="Times New Roman" w:hAnsi="Times New Roman" w:cs="Times New Roman" w:hint="eastAsia"/>
        </w:rPr>
        <w:t xml:space="preserve"> </w:t>
      </w:r>
      <w:r w:rsidR="005C6999">
        <w:rPr>
          <w:rFonts w:ascii="Times New Roman" w:hAnsi="Times New Roman" w:cs="Times New Roman" w:hint="eastAsia"/>
        </w:rPr>
        <w:t>혁신적</w:t>
      </w:r>
      <w:r w:rsidR="005C6999">
        <w:rPr>
          <w:rFonts w:ascii="Times New Roman" w:hAnsi="Times New Roman" w:cs="Times New Roman" w:hint="eastAsia"/>
        </w:rPr>
        <w:t xml:space="preserve"> </w:t>
      </w:r>
      <w:r w:rsidR="005C6999">
        <w:rPr>
          <w:rFonts w:ascii="Times New Roman" w:hAnsi="Times New Roman" w:cs="Times New Roman" w:hint="eastAsia"/>
        </w:rPr>
        <w:t>시장</w:t>
      </w:r>
      <w:r w:rsidR="005C6999">
        <w:rPr>
          <w:rFonts w:ascii="Times New Roman" w:hAnsi="Times New Roman" w:cs="Times New Roman" w:hint="eastAsia"/>
        </w:rPr>
        <w:t>-</w:t>
      </w:r>
      <w:r w:rsidR="005C6999">
        <w:rPr>
          <w:rFonts w:ascii="Times New Roman" w:hAnsi="Times New Roman" w:cs="Times New Roman" w:hint="eastAsia"/>
        </w:rPr>
        <w:t>장부가</w:t>
      </w:r>
      <w:r w:rsidR="005C6999">
        <w:rPr>
          <w:rFonts w:ascii="Times New Roman" w:hAnsi="Times New Roman" w:cs="Times New Roman" w:hint="eastAsia"/>
        </w:rPr>
        <w:t>)</w:t>
      </w:r>
      <w:r w:rsidR="000D25A9">
        <w:rPr>
          <w:rFonts w:ascii="Times New Roman" w:hAnsi="Times New Roman" w:cs="Times New Roman" w:hint="eastAsia"/>
        </w:rPr>
        <w:t>의</w:t>
      </w:r>
      <w:r w:rsidR="000D25A9">
        <w:rPr>
          <w:rFonts w:ascii="Times New Roman" w:hAnsi="Times New Roman" w:cs="Times New Roman" w:hint="eastAsia"/>
        </w:rPr>
        <w:t xml:space="preserve"> </w:t>
      </w:r>
      <w:r w:rsidR="000D25A9">
        <w:rPr>
          <w:rFonts w:ascii="Times New Roman" w:hAnsi="Times New Roman" w:cs="Times New Roman" w:hint="eastAsia"/>
        </w:rPr>
        <w:t>모멘텀</w:t>
      </w:r>
      <w:r w:rsidR="000D25A9">
        <w:rPr>
          <w:rFonts w:ascii="Times New Roman" w:hAnsi="Times New Roman" w:cs="Times New Roman" w:hint="eastAsia"/>
        </w:rPr>
        <w:t xml:space="preserve"> </w:t>
      </w:r>
      <w:r w:rsidR="000D25A9">
        <w:rPr>
          <w:rFonts w:ascii="Times New Roman" w:hAnsi="Times New Roman" w:cs="Times New Roman" w:hint="eastAsia"/>
        </w:rPr>
        <w:t>효과가</w:t>
      </w:r>
      <w:r w:rsidR="000D25A9">
        <w:rPr>
          <w:rFonts w:ascii="Times New Roman" w:hAnsi="Times New Roman" w:cs="Times New Roman" w:hint="eastAsia"/>
        </w:rPr>
        <w:t xml:space="preserve"> </w:t>
      </w:r>
      <w:r w:rsidR="000D25A9">
        <w:rPr>
          <w:rFonts w:ascii="Times New Roman" w:hAnsi="Times New Roman" w:cs="Times New Roman" w:hint="eastAsia"/>
        </w:rPr>
        <w:t>관찰된다</w:t>
      </w:r>
      <w:r w:rsidR="000D25A9">
        <w:rPr>
          <w:rFonts w:ascii="Times New Roman" w:hAnsi="Times New Roman" w:cs="Times New Roman" w:hint="eastAsia"/>
        </w:rPr>
        <w:t xml:space="preserve">. </w:t>
      </w:r>
    </w:p>
    <w:p w:rsidR="00E0193B" w:rsidRPr="005C6999" w:rsidRDefault="000D25A9" w:rsidP="00612DE5">
      <w:pPr>
        <w:spacing w:after="0"/>
        <w:rPr>
          <w:rFonts w:ascii="Times New Roman" w:hAnsi="Times New Roman" w:cs="Times New Roman"/>
        </w:rPr>
      </w:pPr>
      <w:r>
        <w:rPr>
          <w:rFonts w:ascii="Times New Roman" w:hAnsi="Times New Roman" w:cs="Times New Roman" w:hint="eastAsia"/>
        </w:rPr>
        <w:t xml:space="preserve"> </w:t>
      </w:r>
      <w:r w:rsidR="005C6999">
        <w:rPr>
          <w:rFonts w:ascii="Times New Roman" w:hAnsi="Times New Roman" w:cs="Times New Roman" w:hint="eastAsia"/>
          <w:b/>
        </w:rPr>
        <w:t>키워드</w:t>
      </w:r>
      <w:r w:rsidR="005C6999">
        <w:rPr>
          <w:rFonts w:ascii="Times New Roman" w:hAnsi="Times New Roman" w:cs="Times New Roman" w:hint="eastAsia"/>
          <w:b/>
        </w:rPr>
        <w:t xml:space="preserve">: </w:t>
      </w:r>
      <w:r w:rsidR="005C6999">
        <w:rPr>
          <w:rFonts w:ascii="Times New Roman" w:hAnsi="Times New Roman" w:cs="Times New Roman" w:hint="eastAsia"/>
        </w:rPr>
        <w:t>티모델</w:t>
      </w:r>
      <w:r w:rsidR="005C6999">
        <w:rPr>
          <w:rFonts w:ascii="Times New Roman" w:hAnsi="Times New Roman" w:cs="Times New Roman" w:hint="eastAsia"/>
        </w:rPr>
        <w:t xml:space="preserve">, </w:t>
      </w:r>
      <w:r w:rsidR="005C6999">
        <w:rPr>
          <w:rFonts w:ascii="Times New Roman" w:hAnsi="Times New Roman" w:cs="Times New Roman" w:hint="eastAsia"/>
        </w:rPr>
        <w:t>가치결정요인</w:t>
      </w:r>
      <w:r w:rsidR="005C6999">
        <w:rPr>
          <w:rFonts w:ascii="Times New Roman" w:hAnsi="Times New Roman" w:cs="Times New Roman" w:hint="eastAsia"/>
        </w:rPr>
        <w:t xml:space="preserve">, </w:t>
      </w:r>
      <w:r w:rsidR="005C6999">
        <w:rPr>
          <w:rFonts w:ascii="Times New Roman" w:hAnsi="Times New Roman" w:cs="Times New Roman" w:hint="eastAsia"/>
        </w:rPr>
        <w:t>고정효과</w:t>
      </w:r>
      <w:r w:rsidR="005C6999">
        <w:rPr>
          <w:rFonts w:ascii="Times New Roman" w:hAnsi="Times New Roman" w:cs="Times New Roman" w:hint="eastAsia"/>
        </w:rPr>
        <w:t xml:space="preserve">, </w:t>
      </w:r>
      <w:r w:rsidR="005C6999">
        <w:rPr>
          <w:rFonts w:ascii="Times New Roman" w:hAnsi="Times New Roman" w:cs="Times New Roman" w:hint="eastAsia"/>
        </w:rPr>
        <w:t>랜덤효과</w:t>
      </w:r>
    </w:p>
    <w:p w:rsidR="00780073" w:rsidRDefault="00780073" w:rsidP="00612DE5">
      <w:pPr>
        <w:spacing w:after="0"/>
        <w:rPr>
          <w:rFonts w:ascii="Times New Roman" w:hAnsi="Times New Roman" w:cs="Times New Roman" w:hint="eastAsia"/>
          <w:b/>
        </w:rPr>
      </w:pPr>
      <w:bookmarkStart w:id="0" w:name="_GoBack"/>
      <w:bookmarkEnd w:id="0"/>
    </w:p>
    <w:p w:rsidR="001071CE" w:rsidRPr="002F05A0" w:rsidRDefault="001071CE" w:rsidP="00612DE5">
      <w:pPr>
        <w:spacing w:after="0"/>
        <w:rPr>
          <w:rFonts w:ascii="Times New Roman" w:hAnsi="Times New Roman" w:cs="Times New Roman"/>
          <w:b/>
        </w:rPr>
      </w:pPr>
      <w:r w:rsidRPr="002F05A0">
        <w:rPr>
          <w:rFonts w:ascii="Times New Roman" w:hAnsi="Times New Roman" w:cs="Times New Roman"/>
          <w:b/>
        </w:rPr>
        <w:t>Abstract</w:t>
      </w:r>
      <w:r w:rsidR="00044AC4" w:rsidRPr="002F05A0">
        <w:rPr>
          <w:rFonts w:ascii="Times New Roman" w:hAnsi="Times New Roman" w:cs="Times New Roman"/>
          <w:b/>
        </w:rPr>
        <w:t>:</w:t>
      </w:r>
    </w:p>
    <w:p w:rsidR="001071CE" w:rsidRDefault="00710634" w:rsidP="00612DE5">
      <w:pPr>
        <w:spacing w:after="0" w:line="240" w:lineRule="auto"/>
        <w:ind w:firstLine="360"/>
        <w:jc w:val="both"/>
        <w:rPr>
          <w:rFonts w:ascii="Times New Roman" w:hAnsi="Times New Roman" w:cs="Times New Roman"/>
        </w:rPr>
      </w:pPr>
      <w:r w:rsidRPr="002F05A0">
        <w:rPr>
          <w:rFonts w:ascii="Times New Roman" w:hAnsi="Times New Roman" w:cs="Times New Roman"/>
        </w:rPr>
        <w:t xml:space="preserve">This study sheds a new light on the role of the </w:t>
      </w:r>
      <w:r w:rsidRPr="002F05A0">
        <w:rPr>
          <w:rFonts w:ascii="Times New Roman" w:hAnsi="Times New Roman" w:cs="Times New Roman"/>
          <w:i/>
        </w:rPr>
        <w:t>change</w:t>
      </w:r>
      <w:r w:rsidRPr="002F05A0">
        <w:rPr>
          <w:rFonts w:ascii="Times New Roman" w:hAnsi="Times New Roman" w:cs="Times New Roman"/>
        </w:rPr>
        <w:t xml:space="preserve"> in price-to-book ratio (ΔPB) relative to the </w:t>
      </w:r>
      <w:r w:rsidRPr="002F05A0">
        <w:rPr>
          <w:rFonts w:ascii="Times New Roman" w:hAnsi="Times New Roman" w:cs="Times New Roman"/>
          <w:i/>
        </w:rPr>
        <w:t>level</w:t>
      </w:r>
      <w:r w:rsidRPr="002F05A0">
        <w:rPr>
          <w:rFonts w:ascii="Times New Roman" w:hAnsi="Times New Roman" w:cs="Times New Roman"/>
        </w:rPr>
        <w:t xml:space="preserve"> of price-to-book (P/B) ratio in predicting stock performance. </w:t>
      </w:r>
      <w:r w:rsidR="00C3733C" w:rsidRPr="002F05A0">
        <w:rPr>
          <w:rFonts w:ascii="Times New Roman" w:hAnsi="Times New Roman" w:cs="Times New Roman"/>
        </w:rPr>
        <w:t xml:space="preserve">A simple portfolio </w:t>
      </w:r>
      <w:r w:rsidR="00DD2AD6" w:rsidRPr="002F05A0">
        <w:rPr>
          <w:rFonts w:ascii="Times New Roman" w:hAnsi="Times New Roman" w:cs="Times New Roman"/>
        </w:rPr>
        <w:t>return</w:t>
      </w:r>
      <w:r w:rsidR="00C3733C" w:rsidRPr="002F05A0">
        <w:rPr>
          <w:rFonts w:ascii="Times New Roman" w:hAnsi="Times New Roman" w:cs="Times New Roman"/>
        </w:rPr>
        <w:t xml:space="preserve"> analysis shows that the ΔPB is a more effective investment heuristic than the P/B ratio. </w:t>
      </w:r>
      <w:r w:rsidR="00F2083E" w:rsidRPr="002F05A0">
        <w:rPr>
          <w:rFonts w:ascii="Times New Roman" w:hAnsi="Times New Roman" w:cs="Times New Roman"/>
        </w:rPr>
        <w:t xml:space="preserve">The </w:t>
      </w:r>
      <w:r w:rsidRPr="002F05A0">
        <w:rPr>
          <w:rFonts w:ascii="Times New Roman" w:hAnsi="Times New Roman" w:cs="Times New Roman"/>
        </w:rPr>
        <w:t>contemporaneous panel regression</w:t>
      </w:r>
      <w:r w:rsidR="00F2083E" w:rsidRPr="002F05A0">
        <w:rPr>
          <w:rFonts w:ascii="Times New Roman" w:hAnsi="Times New Roman" w:cs="Times New Roman"/>
        </w:rPr>
        <w:t xml:space="preserve"> with fixed and random effects disclose</w:t>
      </w:r>
      <w:r w:rsidRPr="002F05A0">
        <w:rPr>
          <w:rFonts w:ascii="Times New Roman" w:hAnsi="Times New Roman" w:cs="Times New Roman"/>
        </w:rPr>
        <w:t>s</w:t>
      </w:r>
      <w:r w:rsidR="001071CE" w:rsidRPr="002F05A0">
        <w:rPr>
          <w:rFonts w:ascii="Times New Roman" w:hAnsi="Times New Roman" w:cs="Times New Roman"/>
        </w:rPr>
        <w:t xml:space="preserve"> </w:t>
      </w:r>
      <w:r w:rsidRPr="002F05A0">
        <w:rPr>
          <w:rFonts w:ascii="Times New Roman" w:hAnsi="Times New Roman" w:cs="Times New Roman"/>
        </w:rPr>
        <w:t>that both the ΔPB and the P/B ratio are positively and significantly related to stock returns and the ΔPB effect is stronger than</w:t>
      </w:r>
      <w:r w:rsidR="00BD29CA" w:rsidRPr="002F05A0">
        <w:rPr>
          <w:rFonts w:ascii="Times New Roman" w:hAnsi="Times New Roman" w:cs="Times New Roman"/>
        </w:rPr>
        <w:t xml:space="preserve"> the P/B </w:t>
      </w:r>
      <w:r w:rsidRPr="002F05A0">
        <w:rPr>
          <w:rFonts w:ascii="Times New Roman" w:hAnsi="Times New Roman" w:cs="Times New Roman"/>
        </w:rPr>
        <w:t xml:space="preserve">effect. </w:t>
      </w:r>
      <w:r w:rsidR="00BD29CA" w:rsidRPr="002F05A0">
        <w:rPr>
          <w:rFonts w:ascii="Times New Roman" w:hAnsi="Times New Roman" w:cs="Times New Roman"/>
        </w:rPr>
        <w:t xml:space="preserve">The proxy panel regression with fixed and random effects holds that the P/B effect becomes contrarian, while the ΔPB effect remains positive. </w:t>
      </w:r>
    </w:p>
    <w:p w:rsidR="00681200" w:rsidRPr="00681200" w:rsidRDefault="00681200" w:rsidP="00681200">
      <w:pPr>
        <w:spacing w:after="0" w:line="240" w:lineRule="auto"/>
        <w:ind w:firstLine="360"/>
        <w:jc w:val="both"/>
        <w:rPr>
          <w:rFonts w:ascii="Times New Roman" w:hAnsi="Times New Roman" w:cs="Times New Roman"/>
        </w:rPr>
      </w:pPr>
    </w:p>
    <w:p w:rsidR="001071CE" w:rsidRPr="002F05A0" w:rsidRDefault="001071CE">
      <w:pPr>
        <w:rPr>
          <w:rFonts w:ascii="Times New Roman" w:hAnsi="Times New Roman" w:cs="Times New Roman"/>
          <w:b/>
        </w:rPr>
      </w:pPr>
      <w:r w:rsidRPr="002F05A0">
        <w:rPr>
          <w:rFonts w:ascii="Times New Roman" w:hAnsi="Times New Roman" w:cs="Times New Roman"/>
          <w:b/>
        </w:rPr>
        <w:t>Keywords:</w:t>
      </w:r>
      <w:r w:rsidRPr="002F05A0">
        <w:rPr>
          <w:rFonts w:ascii="Times New Roman" w:hAnsi="Times New Roman" w:cs="Times New Roman"/>
        </w:rPr>
        <w:t xml:space="preserve"> </w:t>
      </w:r>
      <w:r w:rsidR="00681200">
        <w:rPr>
          <w:rFonts w:ascii="Times New Roman" w:hAnsi="Times New Roman" w:cs="Times New Roman"/>
        </w:rPr>
        <w:t>T-M</w:t>
      </w:r>
      <w:r w:rsidR="00353D60" w:rsidRPr="002F05A0">
        <w:rPr>
          <w:rFonts w:ascii="Times New Roman" w:hAnsi="Times New Roman" w:cs="Times New Roman"/>
        </w:rPr>
        <w:t>odel</w:t>
      </w:r>
      <w:r w:rsidR="005C6999">
        <w:rPr>
          <w:rFonts w:ascii="Times New Roman" w:hAnsi="Times New Roman" w:cs="Times New Roman" w:hint="eastAsia"/>
        </w:rPr>
        <w:t>,</w:t>
      </w:r>
      <w:r w:rsidR="00681200">
        <w:rPr>
          <w:rFonts w:ascii="Times New Roman" w:hAnsi="Times New Roman" w:cs="Times New Roman"/>
        </w:rPr>
        <w:t xml:space="preserve"> v</w:t>
      </w:r>
      <w:r w:rsidR="00353D60" w:rsidRPr="002F05A0">
        <w:rPr>
          <w:rFonts w:ascii="Times New Roman" w:hAnsi="Times New Roman" w:cs="Times New Roman"/>
        </w:rPr>
        <w:t>alue determinants</w:t>
      </w:r>
      <w:r w:rsidR="005C6999">
        <w:rPr>
          <w:rFonts w:ascii="Times New Roman" w:hAnsi="Times New Roman" w:cs="Times New Roman" w:hint="eastAsia"/>
        </w:rPr>
        <w:t>,</w:t>
      </w:r>
      <w:r w:rsidR="005C6999">
        <w:rPr>
          <w:rFonts w:ascii="Times New Roman" w:hAnsi="Times New Roman" w:cs="Times New Roman"/>
        </w:rPr>
        <w:t xml:space="preserve"> fixed effects</w:t>
      </w:r>
      <w:r w:rsidR="005C6999">
        <w:rPr>
          <w:rFonts w:ascii="Times New Roman" w:hAnsi="Times New Roman" w:cs="Times New Roman" w:hint="eastAsia"/>
        </w:rPr>
        <w:t>,</w:t>
      </w:r>
      <w:r w:rsidR="00681200">
        <w:rPr>
          <w:rFonts w:ascii="Times New Roman" w:hAnsi="Times New Roman" w:cs="Times New Roman"/>
        </w:rPr>
        <w:t xml:space="preserve"> r</w:t>
      </w:r>
      <w:r w:rsidR="008F5696" w:rsidRPr="002F05A0">
        <w:rPr>
          <w:rFonts w:ascii="Times New Roman" w:hAnsi="Times New Roman" w:cs="Times New Roman"/>
        </w:rPr>
        <w:t>andom effects</w:t>
      </w:r>
      <w:r w:rsidRPr="002F05A0">
        <w:rPr>
          <w:rFonts w:ascii="Times New Roman" w:hAnsi="Times New Roman" w:cs="Times New Roman"/>
          <w:b/>
        </w:rPr>
        <w:br w:type="page"/>
      </w:r>
    </w:p>
    <w:p w:rsidR="001A6B81" w:rsidRPr="00612DE5" w:rsidRDefault="00C06921" w:rsidP="00DD4BA3">
      <w:pPr>
        <w:spacing w:after="0" w:line="480" w:lineRule="auto"/>
        <w:jc w:val="center"/>
        <w:rPr>
          <w:rFonts w:ascii="Times New Roman" w:hAnsi="Times New Roman" w:cs="Times New Roman"/>
          <w:b/>
          <w:sz w:val="46"/>
          <w:szCs w:val="46"/>
        </w:rPr>
      </w:pPr>
      <w:r w:rsidRPr="00612DE5">
        <w:rPr>
          <w:rFonts w:ascii="Times New Roman" w:hAnsi="Times New Roman" w:cs="Times New Roman"/>
          <w:b/>
          <w:sz w:val="46"/>
          <w:szCs w:val="46"/>
        </w:rPr>
        <w:lastRenderedPageBreak/>
        <w:t>The P/B Ratio: Level versus Change</w:t>
      </w:r>
    </w:p>
    <w:p w:rsidR="00C92C09" w:rsidRPr="00612DE5" w:rsidRDefault="00C92C09" w:rsidP="00612DE5">
      <w:pPr>
        <w:pStyle w:val="a3"/>
        <w:numPr>
          <w:ilvl w:val="0"/>
          <w:numId w:val="14"/>
        </w:numPr>
        <w:spacing w:after="0" w:line="480" w:lineRule="auto"/>
        <w:ind w:left="851" w:hanging="851"/>
        <w:jc w:val="both"/>
        <w:rPr>
          <w:rFonts w:ascii="Times New Roman" w:hAnsi="Times New Roman" w:cs="Times New Roman"/>
          <w:b/>
          <w:sz w:val="30"/>
          <w:szCs w:val="30"/>
        </w:rPr>
      </w:pPr>
      <w:r w:rsidRPr="00612DE5">
        <w:rPr>
          <w:rFonts w:ascii="Times New Roman" w:hAnsi="Times New Roman" w:cs="Times New Roman"/>
          <w:b/>
          <w:sz w:val="30"/>
          <w:szCs w:val="30"/>
        </w:rPr>
        <w:t>Introduction</w:t>
      </w:r>
    </w:p>
    <w:p w:rsidR="00E479BE" w:rsidRPr="00612DE5" w:rsidRDefault="00DB7609"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t>Of numerous value determinants in return or price models, researchers have shown a particular interest in the level of the price-to-book (P/B) ratio (Merton, 1973; Stattman, 1980; Rosenberg, Reid and Lanstein, 1985; Chan, Hamao and Lakonishok, 1991; Fama and French, 1992; La Porta, 1996; Kim and Ritter, 1999). However, little attention has been paid to the change in the P/B ratio (Wilcox 1984; Estep, 1985). The importance of the change in the P/B ratio (ΔPB) was addressed more than two decades ago. With simplifying assumptions, Estep (1985) analytically shows that the total stock return is a function of the ΔPB as well as earnings growth and the P/B ratio. Another argument for the potential efficacy of the ΔPB stems from earnings studies in which the change in earnings are considered a reasonable variable explaining stock returns since it determines the theoretically correct concept of unexpected earnings information (Lev and Ohlson, 1982; Beaver, 1989; Bernard, 1989). Similarly, the ΔPB can be a more appropriate measure of unexpected price information and a variable more consistent with the dimension of the stock return than the P/B ratio. In this study, I revisit this old but critical topic in asset pricing and purport to provide evidence that the ΔPB is an important value determinant of stock returns. Utilizing the fixed effects panel regression, this research endorses the common notion that earnings growth, ROE, and the P/B ratio are significant determinants of stock returns and more importantly reveals the innovative role of the ΔPB overlooked in equity valuation.</w:t>
      </w:r>
    </w:p>
    <w:p w:rsidR="00F22BC0" w:rsidRPr="00612DE5" w:rsidRDefault="00F22BC0" w:rsidP="00612DE5">
      <w:pPr>
        <w:pStyle w:val="a3"/>
        <w:numPr>
          <w:ilvl w:val="0"/>
          <w:numId w:val="14"/>
        </w:numPr>
        <w:spacing w:after="0" w:line="480" w:lineRule="auto"/>
        <w:ind w:left="426" w:hanging="426"/>
        <w:jc w:val="both"/>
        <w:rPr>
          <w:rFonts w:ascii="Times New Roman" w:hAnsi="Times New Roman" w:cs="Times New Roman"/>
          <w:b/>
          <w:sz w:val="30"/>
          <w:szCs w:val="30"/>
        </w:rPr>
      </w:pPr>
      <w:r w:rsidRPr="00612DE5">
        <w:rPr>
          <w:rFonts w:ascii="Times New Roman" w:hAnsi="Times New Roman" w:cs="Times New Roman"/>
          <w:b/>
          <w:sz w:val="30"/>
          <w:szCs w:val="30"/>
        </w:rPr>
        <w:t>Review of Prior Studies</w:t>
      </w:r>
    </w:p>
    <w:p w:rsidR="00FB29E6" w:rsidRPr="00612DE5" w:rsidRDefault="00743448"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t xml:space="preserve">Wilcox </w:t>
      </w:r>
      <w:r w:rsidR="00706BF0" w:rsidRPr="00612DE5">
        <w:rPr>
          <w:rFonts w:ascii="Times New Roman" w:hAnsi="Times New Roman" w:cs="Times New Roman"/>
          <w:sz w:val="20"/>
          <w:szCs w:val="20"/>
        </w:rPr>
        <w:t>(1984)</w:t>
      </w:r>
      <w:r w:rsidR="009662EE" w:rsidRPr="00612DE5">
        <w:rPr>
          <w:rFonts w:ascii="Times New Roman" w:hAnsi="Times New Roman" w:cs="Times New Roman"/>
          <w:sz w:val="20"/>
          <w:szCs w:val="20"/>
        </w:rPr>
        <w:t xml:space="preserve"> shows the useful</w:t>
      </w:r>
      <w:r w:rsidR="001B56C1" w:rsidRPr="00612DE5">
        <w:rPr>
          <w:rFonts w:ascii="Times New Roman" w:hAnsi="Times New Roman" w:cs="Times New Roman"/>
          <w:sz w:val="20"/>
          <w:szCs w:val="20"/>
        </w:rPr>
        <w:t xml:space="preserve">ness of a combined model of </w:t>
      </w:r>
      <w:r w:rsidR="00B411EA" w:rsidRPr="00612DE5">
        <w:rPr>
          <w:rFonts w:ascii="Times New Roman" w:hAnsi="Times New Roman" w:cs="Times New Roman"/>
          <w:sz w:val="20"/>
          <w:szCs w:val="20"/>
        </w:rPr>
        <w:t xml:space="preserve">the </w:t>
      </w:r>
      <w:r w:rsidR="001B56C1" w:rsidRPr="00612DE5">
        <w:rPr>
          <w:rFonts w:ascii="Times New Roman" w:hAnsi="Times New Roman" w:cs="Times New Roman"/>
          <w:sz w:val="20"/>
          <w:szCs w:val="20"/>
        </w:rPr>
        <w:t>P/B</w:t>
      </w:r>
      <w:r w:rsidR="00B411EA" w:rsidRPr="00612DE5">
        <w:rPr>
          <w:rFonts w:ascii="Times New Roman" w:hAnsi="Times New Roman" w:cs="Times New Roman"/>
          <w:sz w:val="20"/>
          <w:szCs w:val="20"/>
        </w:rPr>
        <w:t xml:space="preserve"> ratio</w:t>
      </w:r>
      <w:r w:rsidR="009662EE" w:rsidRPr="00612DE5">
        <w:rPr>
          <w:rFonts w:ascii="Times New Roman" w:hAnsi="Times New Roman" w:cs="Times New Roman"/>
          <w:sz w:val="20"/>
          <w:szCs w:val="20"/>
        </w:rPr>
        <w:t xml:space="preserve"> and </w:t>
      </w:r>
      <w:r w:rsidR="001B56C1" w:rsidRPr="00612DE5">
        <w:rPr>
          <w:rFonts w:ascii="Times New Roman" w:hAnsi="Times New Roman" w:cs="Times New Roman"/>
          <w:sz w:val="20"/>
          <w:szCs w:val="20"/>
        </w:rPr>
        <w:t>ROE</w:t>
      </w:r>
      <w:r w:rsidR="009662EE" w:rsidRPr="00612DE5">
        <w:rPr>
          <w:rFonts w:ascii="Times New Roman" w:hAnsi="Times New Roman" w:cs="Times New Roman"/>
          <w:sz w:val="20"/>
          <w:szCs w:val="20"/>
        </w:rPr>
        <w:t xml:space="preserve"> and report that the P/B-ROE model is superi</w:t>
      </w:r>
      <w:r w:rsidR="001B56C1" w:rsidRPr="00612DE5">
        <w:rPr>
          <w:rFonts w:ascii="Times New Roman" w:hAnsi="Times New Roman" w:cs="Times New Roman"/>
          <w:sz w:val="20"/>
          <w:szCs w:val="20"/>
        </w:rPr>
        <w:t xml:space="preserve">or to the </w:t>
      </w:r>
      <w:r w:rsidR="00B411EA" w:rsidRPr="00612DE5">
        <w:rPr>
          <w:rFonts w:ascii="Times New Roman" w:hAnsi="Times New Roman" w:cs="Times New Roman"/>
          <w:sz w:val="20"/>
          <w:szCs w:val="20"/>
        </w:rPr>
        <w:t>price-to-earnings (</w:t>
      </w:r>
      <w:r w:rsidR="001B56C1" w:rsidRPr="00612DE5">
        <w:rPr>
          <w:rFonts w:ascii="Times New Roman" w:hAnsi="Times New Roman" w:cs="Times New Roman"/>
          <w:sz w:val="20"/>
          <w:szCs w:val="20"/>
        </w:rPr>
        <w:t>P/E</w:t>
      </w:r>
      <w:r w:rsidR="00B411EA" w:rsidRPr="00612DE5">
        <w:rPr>
          <w:rFonts w:ascii="Times New Roman" w:hAnsi="Times New Roman" w:cs="Times New Roman"/>
          <w:sz w:val="20"/>
          <w:szCs w:val="20"/>
        </w:rPr>
        <w:t>)</w:t>
      </w:r>
      <w:r w:rsidR="009662EE" w:rsidRPr="00612DE5">
        <w:rPr>
          <w:rFonts w:ascii="Times New Roman" w:hAnsi="Times New Roman" w:cs="Times New Roman"/>
          <w:sz w:val="20"/>
          <w:szCs w:val="20"/>
        </w:rPr>
        <w:t xml:space="preserve"> models. More interesting is that he decomposes percentage change in price into three value components – </w:t>
      </w:r>
      <w:r w:rsidR="00B411EA" w:rsidRPr="00612DE5">
        <w:rPr>
          <w:rFonts w:ascii="Times New Roman" w:hAnsi="Times New Roman" w:cs="Times New Roman"/>
          <w:sz w:val="20"/>
          <w:szCs w:val="20"/>
        </w:rPr>
        <w:t xml:space="preserve">the </w:t>
      </w:r>
      <w:r w:rsidR="009662EE" w:rsidRPr="00612DE5">
        <w:rPr>
          <w:rFonts w:ascii="Times New Roman" w:hAnsi="Times New Roman" w:cs="Times New Roman"/>
          <w:sz w:val="20"/>
          <w:szCs w:val="20"/>
        </w:rPr>
        <w:t>percentage change in book v</w:t>
      </w:r>
      <w:r w:rsidR="00B411EA" w:rsidRPr="00612DE5">
        <w:rPr>
          <w:rFonts w:ascii="Times New Roman" w:hAnsi="Times New Roman" w:cs="Times New Roman"/>
          <w:sz w:val="20"/>
          <w:szCs w:val="20"/>
        </w:rPr>
        <w:t xml:space="preserve">alue, the </w:t>
      </w:r>
      <w:r w:rsidR="00E12118" w:rsidRPr="00612DE5">
        <w:rPr>
          <w:rFonts w:ascii="Times New Roman" w:hAnsi="Times New Roman" w:cs="Times New Roman"/>
          <w:sz w:val="20"/>
          <w:szCs w:val="20"/>
        </w:rPr>
        <w:t>Δ</w:t>
      </w:r>
      <w:r w:rsidR="001B56C1" w:rsidRPr="00612DE5">
        <w:rPr>
          <w:rFonts w:ascii="Times New Roman" w:hAnsi="Times New Roman" w:cs="Times New Roman"/>
          <w:sz w:val="20"/>
          <w:szCs w:val="20"/>
        </w:rPr>
        <w:t>P</w:t>
      </w:r>
      <w:r w:rsidR="00B411EA" w:rsidRPr="00612DE5">
        <w:rPr>
          <w:rFonts w:ascii="Times New Roman" w:hAnsi="Times New Roman" w:cs="Times New Roman"/>
          <w:sz w:val="20"/>
          <w:szCs w:val="20"/>
        </w:rPr>
        <w:t>B</w:t>
      </w:r>
      <w:r w:rsidR="00E12118" w:rsidRPr="00612DE5">
        <w:rPr>
          <w:rFonts w:ascii="Times New Roman" w:hAnsi="Times New Roman" w:cs="Times New Roman"/>
          <w:sz w:val="20"/>
          <w:szCs w:val="20"/>
        </w:rPr>
        <w:t xml:space="preserve">, and interaction between the two </w:t>
      </w:r>
      <w:r w:rsidR="0056412D" w:rsidRPr="00612DE5">
        <w:rPr>
          <w:rFonts w:ascii="Times New Roman" w:hAnsi="Times New Roman" w:cs="Times New Roman"/>
          <w:sz w:val="20"/>
          <w:szCs w:val="20"/>
        </w:rPr>
        <w:t>components</w:t>
      </w:r>
      <w:r w:rsidR="00E12118" w:rsidRPr="00612DE5">
        <w:rPr>
          <w:rFonts w:ascii="Times New Roman" w:hAnsi="Times New Roman" w:cs="Times New Roman"/>
          <w:sz w:val="20"/>
          <w:szCs w:val="20"/>
        </w:rPr>
        <w:t xml:space="preserve">. Although Wilcox does not make an effort to empirically test the decomposed equation, he is the first who specifies </w:t>
      </w:r>
      <w:r w:rsidR="002E195B" w:rsidRPr="00612DE5">
        <w:rPr>
          <w:rFonts w:ascii="Times New Roman" w:hAnsi="Times New Roman" w:cs="Times New Roman"/>
          <w:sz w:val="20"/>
          <w:szCs w:val="20"/>
        </w:rPr>
        <w:t xml:space="preserve">the </w:t>
      </w:r>
      <w:r w:rsidR="00E12118" w:rsidRPr="00612DE5">
        <w:rPr>
          <w:rFonts w:ascii="Times New Roman" w:hAnsi="Times New Roman" w:cs="Times New Roman"/>
          <w:sz w:val="20"/>
          <w:szCs w:val="20"/>
        </w:rPr>
        <w:t>Δ</w:t>
      </w:r>
      <w:r w:rsidR="001B56C1" w:rsidRPr="00612DE5">
        <w:rPr>
          <w:rFonts w:ascii="Times New Roman" w:hAnsi="Times New Roman" w:cs="Times New Roman"/>
          <w:sz w:val="20"/>
          <w:szCs w:val="20"/>
        </w:rPr>
        <w:t>P</w:t>
      </w:r>
      <w:r w:rsidR="001C0F35" w:rsidRPr="00612DE5">
        <w:rPr>
          <w:rFonts w:ascii="Times New Roman" w:hAnsi="Times New Roman" w:cs="Times New Roman"/>
          <w:sz w:val="20"/>
          <w:szCs w:val="20"/>
        </w:rPr>
        <w:t>B as a major value determinant</w:t>
      </w:r>
      <w:r w:rsidR="00FA7F30" w:rsidRPr="00612DE5">
        <w:rPr>
          <w:rFonts w:ascii="Times New Roman" w:hAnsi="Times New Roman" w:cs="Times New Roman"/>
          <w:sz w:val="20"/>
          <w:szCs w:val="20"/>
        </w:rPr>
        <w:t xml:space="preserve"> to my best knowledge</w:t>
      </w:r>
      <w:r w:rsidR="00E12118" w:rsidRPr="00612DE5">
        <w:rPr>
          <w:rFonts w:ascii="Times New Roman" w:hAnsi="Times New Roman" w:cs="Times New Roman"/>
          <w:sz w:val="20"/>
          <w:szCs w:val="20"/>
        </w:rPr>
        <w:t xml:space="preserve">. Estep </w:t>
      </w:r>
      <w:r w:rsidR="00706BF0" w:rsidRPr="00612DE5">
        <w:rPr>
          <w:rFonts w:ascii="Times New Roman" w:hAnsi="Times New Roman" w:cs="Times New Roman"/>
          <w:sz w:val="20"/>
          <w:szCs w:val="20"/>
        </w:rPr>
        <w:t>(1985)</w:t>
      </w:r>
      <w:r w:rsidR="00E12118" w:rsidRPr="00612DE5">
        <w:rPr>
          <w:rFonts w:ascii="Times New Roman" w:hAnsi="Times New Roman" w:cs="Times New Roman"/>
          <w:sz w:val="20"/>
          <w:szCs w:val="20"/>
        </w:rPr>
        <w:t xml:space="preserve"> elaborates on the Wilcox equation, although not acknowledged, and develop</w:t>
      </w:r>
      <w:r w:rsidR="00FA7F30" w:rsidRPr="00612DE5">
        <w:rPr>
          <w:rFonts w:ascii="Times New Roman" w:hAnsi="Times New Roman" w:cs="Times New Roman"/>
          <w:sz w:val="20"/>
          <w:szCs w:val="20"/>
        </w:rPr>
        <w:t xml:space="preserve">s a new expected return formula known as T-model. Assuming that earnings and book value of equity grow at the </w:t>
      </w:r>
      <w:r w:rsidR="007C7F62" w:rsidRPr="00612DE5">
        <w:rPr>
          <w:rFonts w:ascii="Times New Roman" w:hAnsi="Times New Roman" w:cs="Times New Roman"/>
          <w:sz w:val="20"/>
          <w:szCs w:val="20"/>
        </w:rPr>
        <w:t>same rate, he derives</w:t>
      </w:r>
      <w:r w:rsidR="00FA7F30" w:rsidRPr="00612DE5">
        <w:rPr>
          <w:rFonts w:ascii="Times New Roman" w:hAnsi="Times New Roman" w:cs="Times New Roman"/>
          <w:sz w:val="20"/>
          <w:szCs w:val="20"/>
        </w:rPr>
        <w:t xml:space="preserve"> </w:t>
      </w:r>
      <w:r w:rsidR="007C7F62" w:rsidRPr="00612DE5">
        <w:rPr>
          <w:rFonts w:ascii="Times New Roman" w:hAnsi="Times New Roman" w:cs="Times New Roman"/>
          <w:sz w:val="20"/>
          <w:szCs w:val="20"/>
        </w:rPr>
        <w:t xml:space="preserve">the </w:t>
      </w:r>
      <w:r w:rsidR="001B56C1" w:rsidRPr="00612DE5">
        <w:rPr>
          <w:rFonts w:ascii="Times New Roman" w:hAnsi="Times New Roman" w:cs="Times New Roman"/>
          <w:sz w:val="20"/>
          <w:szCs w:val="20"/>
        </w:rPr>
        <w:t>T-</w:t>
      </w:r>
      <w:r w:rsidR="007C7F62" w:rsidRPr="00612DE5">
        <w:rPr>
          <w:rFonts w:ascii="Times New Roman" w:hAnsi="Times New Roman" w:cs="Times New Roman"/>
          <w:sz w:val="20"/>
          <w:szCs w:val="20"/>
        </w:rPr>
        <w:t xml:space="preserve">model </w:t>
      </w:r>
      <w:r w:rsidR="00FA7F30" w:rsidRPr="00612DE5">
        <w:rPr>
          <w:rFonts w:ascii="Times New Roman" w:hAnsi="Times New Roman" w:cs="Times New Roman"/>
          <w:sz w:val="20"/>
          <w:szCs w:val="20"/>
        </w:rPr>
        <w:t xml:space="preserve">from the Gordon growth model of dividends. The distinguishing point </w:t>
      </w:r>
      <w:r w:rsidR="007C7F62" w:rsidRPr="00612DE5">
        <w:rPr>
          <w:rFonts w:ascii="Times New Roman" w:hAnsi="Times New Roman" w:cs="Times New Roman"/>
          <w:sz w:val="20"/>
          <w:szCs w:val="20"/>
        </w:rPr>
        <w:t>is that the T-</w:t>
      </w:r>
      <w:r w:rsidR="00FA7F30" w:rsidRPr="00612DE5">
        <w:rPr>
          <w:rFonts w:ascii="Times New Roman" w:hAnsi="Times New Roman" w:cs="Times New Roman"/>
          <w:sz w:val="20"/>
          <w:szCs w:val="20"/>
        </w:rPr>
        <w:t>model is independent of dividend policy and dividend yield.</w:t>
      </w:r>
      <w:r w:rsidR="007C7F62" w:rsidRPr="00612DE5">
        <w:rPr>
          <w:rFonts w:ascii="Times New Roman" w:hAnsi="Times New Roman" w:cs="Times New Roman"/>
          <w:sz w:val="20"/>
          <w:szCs w:val="20"/>
        </w:rPr>
        <w:t xml:space="preserve"> The model relates </w:t>
      </w:r>
      <w:r w:rsidR="001C0F35" w:rsidRPr="00612DE5">
        <w:rPr>
          <w:rFonts w:ascii="Times New Roman" w:hAnsi="Times New Roman" w:cs="Times New Roman"/>
          <w:sz w:val="20"/>
          <w:szCs w:val="20"/>
        </w:rPr>
        <w:t>to four distinctive value determinant</w:t>
      </w:r>
      <w:r w:rsidR="007C7F62" w:rsidRPr="00612DE5">
        <w:rPr>
          <w:rFonts w:ascii="Times New Roman" w:hAnsi="Times New Roman" w:cs="Times New Roman"/>
          <w:sz w:val="20"/>
          <w:szCs w:val="20"/>
        </w:rPr>
        <w:t xml:space="preserve">s of total expected return on equity – growth </w:t>
      </w:r>
      <w:r w:rsidR="007C7F62" w:rsidRPr="00612DE5">
        <w:rPr>
          <w:rFonts w:ascii="Times New Roman" w:hAnsi="Times New Roman" w:cs="Times New Roman"/>
          <w:sz w:val="20"/>
          <w:szCs w:val="20"/>
        </w:rPr>
        <w:lastRenderedPageBreak/>
        <w:t>in earnings, ROE, P/B</w:t>
      </w:r>
      <w:r w:rsidR="002E195B" w:rsidRPr="00612DE5">
        <w:rPr>
          <w:rFonts w:ascii="Times New Roman" w:hAnsi="Times New Roman" w:cs="Times New Roman"/>
          <w:sz w:val="20"/>
          <w:szCs w:val="20"/>
        </w:rPr>
        <w:t xml:space="preserve"> ratio</w:t>
      </w:r>
      <w:r w:rsidR="007C7F62" w:rsidRPr="00612DE5">
        <w:rPr>
          <w:rFonts w:ascii="Times New Roman" w:hAnsi="Times New Roman" w:cs="Times New Roman"/>
          <w:sz w:val="20"/>
          <w:szCs w:val="20"/>
        </w:rPr>
        <w:t>, and Δ</w:t>
      </w:r>
      <w:r w:rsidR="001B56C1" w:rsidRPr="00612DE5">
        <w:rPr>
          <w:rFonts w:ascii="Times New Roman" w:hAnsi="Times New Roman" w:cs="Times New Roman"/>
          <w:sz w:val="20"/>
          <w:szCs w:val="20"/>
        </w:rPr>
        <w:t>P</w:t>
      </w:r>
      <w:r w:rsidR="007C7F62" w:rsidRPr="00612DE5">
        <w:rPr>
          <w:rFonts w:ascii="Times New Roman" w:hAnsi="Times New Roman" w:cs="Times New Roman"/>
          <w:sz w:val="20"/>
          <w:szCs w:val="20"/>
        </w:rPr>
        <w:t xml:space="preserve">B: </w:t>
      </w:r>
      <m:oMath>
        <m:r>
          <w:rPr>
            <w:rFonts w:ascii="Cambria Math" w:hAnsi="Cambria Math" w:cs="Times New Roman"/>
            <w:sz w:val="20"/>
            <w:szCs w:val="20"/>
          </w:rPr>
          <m:t>R=g+</m:t>
        </m:r>
        <m:f>
          <m:fPr>
            <m:ctrlPr>
              <w:rPr>
                <w:rFonts w:ascii="Cambria Math" w:hAnsi="Cambria Math" w:cs="Times New Roman"/>
                <w:i/>
                <w:sz w:val="20"/>
                <w:szCs w:val="20"/>
              </w:rPr>
            </m:ctrlPr>
          </m:fPr>
          <m:num>
            <m:r>
              <w:rPr>
                <w:rFonts w:ascii="Cambria Math" w:hAnsi="Cambria Math" w:cs="Times New Roman"/>
                <w:sz w:val="20"/>
                <w:szCs w:val="20"/>
              </w:rPr>
              <m:t>ROE-g</m:t>
            </m:r>
          </m:num>
          <m:den>
            <m:r>
              <w:rPr>
                <w:rFonts w:ascii="Cambria Math" w:hAnsi="Cambria Math" w:cs="Times New Roman"/>
                <w:sz w:val="20"/>
                <w:szCs w:val="20"/>
              </w:rPr>
              <m:t>P/B</m:t>
            </m:r>
          </m:den>
        </m:f>
        <m:r>
          <w:rPr>
            <w:rFonts w:ascii="Cambria Math" w:hAnsi="Cambria Math" w:cs="Times New Roman"/>
            <w:sz w:val="20"/>
            <w:szCs w:val="20"/>
          </w:rPr>
          <m:t>+</m:t>
        </m:r>
        <m:f>
          <m:fPr>
            <m:ctrlPr>
              <w:rPr>
                <w:rFonts w:ascii="Cambria Math" w:hAnsi="Cambria Math" w:cs="Times New Roman"/>
                <w:i/>
                <w:sz w:val="20"/>
                <w:szCs w:val="20"/>
              </w:rPr>
            </m:ctrlPr>
          </m:fPr>
          <m:num>
            <m:r>
              <m:rPr>
                <m:sty m:val="p"/>
              </m:rPr>
              <w:rPr>
                <w:rFonts w:ascii="Cambria Math" w:hAnsi="Cambria Math" w:cs="Times New Roman"/>
                <w:sz w:val="20"/>
                <w:szCs w:val="20"/>
              </w:rPr>
              <m:t>ΔPB</m:t>
            </m:r>
          </m:num>
          <m:den>
            <m:r>
              <w:rPr>
                <w:rFonts w:ascii="Cambria Math" w:hAnsi="Cambria Math" w:cs="Times New Roman"/>
                <w:sz w:val="20"/>
                <w:szCs w:val="20"/>
              </w:rPr>
              <m:t>P/B</m:t>
            </m:r>
          </m:den>
        </m:f>
        <m:r>
          <w:rPr>
            <w:rFonts w:ascii="Cambria Math" w:hAnsi="Cambria Math" w:cs="Times New Roman"/>
            <w:sz w:val="20"/>
            <w:szCs w:val="20"/>
          </w:rPr>
          <m:t>(1+g)</m:t>
        </m:r>
      </m:oMath>
      <w:r w:rsidR="00C039F0" w:rsidRPr="00612DE5">
        <w:rPr>
          <w:rFonts w:ascii="Times New Roman" w:hAnsi="Times New Roman" w:cs="Times New Roman"/>
          <w:sz w:val="20"/>
          <w:szCs w:val="20"/>
        </w:rPr>
        <w:t xml:space="preserve"> where R</w:t>
      </w:r>
      <w:r w:rsidR="007C7F62" w:rsidRPr="00612DE5">
        <w:rPr>
          <w:rFonts w:ascii="Times New Roman" w:hAnsi="Times New Roman" w:cs="Times New Roman"/>
          <w:sz w:val="20"/>
          <w:szCs w:val="20"/>
        </w:rPr>
        <w:t xml:space="preserve"> = </w:t>
      </w:r>
      <w:r w:rsidR="002E195B" w:rsidRPr="00612DE5">
        <w:rPr>
          <w:rFonts w:ascii="Times New Roman" w:hAnsi="Times New Roman" w:cs="Times New Roman"/>
          <w:sz w:val="20"/>
          <w:szCs w:val="20"/>
        </w:rPr>
        <w:t xml:space="preserve">the </w:t>
      </w:r>
      <w:r w:rsidR="007C7F62" w:rsidRPr="00612DE5">
        <w:rPr>
          <w:rFonts w:ascii="Times New Roman" w:hAnsi="Times New Roman" w:cs="Times New Roman"/>
          <w:sz w:val="20"/>
          <w:szCs w:val="20"/>
        </w:rPr>
        <w:t xml:space="preserve">total expected return on equity; g = </w:t>
      </w:r>
      <w:r w:rsidR="002E195B" w:rsidRPr="00612DE5">
        <w:rPr>
          <w:rFonts w:ascii="Times New Roman" w:hAnsi="Times New Roman" w:cs="Times New Roman"/>
          <w:sz w:val="20"/>
          <w:szCs w:val="20"/>
        </w:rPr>
        <w:t xml:space="preserve">the </w:t>
      </w:r>
      <w:r w:rsidR="007C7F62" w:rsidRPr="00612DE5">
        <w:rPr>
          <w:rFonts w:ascii="Times New Roman" w:hAnsi="Times New Roman" w:cs="Times New Roman"/>
          <w:sz w:val="20"/>
          <w:szCs w:val="20"/>
        </w:rPr>
        <w:t xml:space="preserve">growth in earnings or book value of equity; ROE = </w:t>
      </w:r>
      <w:r w:rsidR="002E195B" w:rsidRPr="00612DE5">
        <w:rPr>
          <w:rFonts w:ascii="Times New Roman" w:hAnsi="Times New Roman" w:cs="Times New Roman"/>
          <w:sz w:val="20"/>
          <w:szCs w:val="20"/>
        </w:rPr>
        <w:t xml:space="preserve">the </w:t>
      </w:r>
      <w:r w:rsidR="007C7F62" w:rsidRPr="00612DE5">
        <w:rPr>
          <w:rFonts w:ascii="Times New Roman" w:hAnsi="Times New Roman" w:cs="Times New Roman"/>
          <w:sz w:val="20"/>
          <w:szCs w:val="20"/>
        </w:rPr>
        <w:t xml:space="preserve">return on equity; P/B </w:t>
      </w:r>
      <w:r w:rsidR="002E195B" w:rsidRPr="00612DE5">
        <w:rPr>
          <w:rFonts w:ascii="Times New Roman" w:hAnsi="Times New Roman" w:cs="Times New Roman"/>
          <w:sz w:val="20"/>
          <w:szCs w:val="20"/>
        </w:rPr>
        <w:t xml:space="preserve">ratio </w:t>
      </w:r>
      <w:r w:rsidR="007C7F62" w:rsidRPr="00612DE5">
        <w:rPr>
          <w:rFonts w:ascii="Times New Roman" w:hAnsi="Times New Roman" w:cs="Times New Roman"/>
          <w:sz w:val="20"/>
          <w:szCs w:val="20"/>
        </w:rPr>
        <w:t xml:space="preserve">= </w:t>
      </w:r>
      <w:r w:rsidR="002E195B" w:rsidRPr="00612DE5">
        <w:rPr>
          <w:rFonts w:ascii="Times New Roman" w:hAnsi="Times New Roman" w:cs="Times New Roman"/>
          <w:sz w:val="20"/>
          <w:szCs w:val="20"/>
        </w:rPr>
        <w:t xml:space="preserve">the market </w:t>
      </w:r>
      <w:r w:rsidR="007C7F62" w:rsidRPr="00612DE5">
        <w:rPr>
          <w:rFonts w:ascii="Times New Roman" w:hAnsi="Times New Roman" w:cs="Times New Roman"/>
          <w:sz w:val="20"/>
          <w:szCs w:val="20"/>
        </w:rPr>
        <w:t>price</w:t>
      </w:r>
      <w:r w:rsidR="002E195B" w:rsidRPr="00612DE5">
        <w:rPr>
          <w:rFonts w:ascii="Times New Roman" w:hAnsi="Times New Roman" w:cs="Times New Roman"/>
          <w:sz w:val="20"/>
          <w:szCs w:val="20"/>
        </w:rPr>
        <w:t xml:space="preserve"> of equity per share over the </w:t>
      </w:r>
      <w:r w:rsidR="007C7F62" w:rsidRPr="00612DE5">
        <w:rPr>
          <w:rFonts w:ascii="Times New Roman" w:hAnsi="Times New Roman" w:cs="Times New Roman"/>
          <w:sz w:val="20"/>
          <w:szCs w:val="20"/>
        </w:rPr>
        <w:t>book value</w:t>
      </w:r>
      <w:r w:rsidR="002E195B" w:rsidRPr="00612DE5">
        <w:rPr>
          <w:rFonts w:ascii="Times New Roman" w:hAnsi="Times New Roman" w:cs="Times New Roman"/>
          <w:sz w:val="20"/>
          <w:szCs w:val="20"/>
        </w:rPr>
        <w:t xml:space="preserve"> of equity per share</w:t>
      </w:r>
      <w:r w:rsidR="007C7F62" w:rsidRPr="00612DE5">
        <w:rPr>
          <w:rFonts w:ascii="Times New Roman" w:hAnsi="Times New Roman" w:cs="Times New Roman"/>
          <w:sz w:val="20"/>
          <w:szCs w:val="20"/>
        </w:rPr>
        <w:t>; and Δ</w:t>
      </w:r>
      <w:r w:rsidR="001B56C1" w:rsidRPr="00612DE5">
        <w:rPr>
          <w:rFonts w:ascii="Times New Roman" w:hAnsi="Times New Roman" w:cs="Times New Roman"/>
          <w:sz w:val="20"/>
          <w:szCs w:val="20"/>
        </w:rPr>
        <w:t>P</w:t>
      </w:r>
      <w:r w:rsidR="007C7F62" w:rsidRPr="00612DE5">
        <w:rPr>
          <w:rFonts w:ascii="Times New Roman" w:hAnsi="Times New Roman" w:cs="Times New Roman"/>
          <w:sz w:val="20"/>
          <w:szCs w:val="20"/>
        </w:rPr>
        <w:t xml:space="preserve">B = </w:t>
      </w:r>
      <w:r w:rsidR="002E195B" w:rsidRPr="00612DE5">
        <w:rPr>
          <w:rFonts w:ascii="Times New Roman" w:hAnsi="Times New Roman" w:cs="Times New Roman"/>
          <w:sz w:val="20"/>
          <w:szCs w:val="20"/>
        </w:rPr>
        <w:t xml:space="preserve">the </w:t>
      </w:r>
      <w:r w:rsidR="007C7F62" w:rsidRPr="00612DE5">
        <w:rPr>
          <w:rFonts w:ascii="Times New Roman" w:hAnsi="Times New Roman" w:cs="Times New Roman"/>
          <w:sz w:val="20"/>
          <w:szCs w:val="20"/>
        </w:rPr>
        <w:t xml:space="preserve">change in </w:t>
      </w:r>
      <w:r w:rsidR="002E195B" w:rsidRPr="00612DE5">
        <w:rPr>
          <w:rFonts w:ascii="Times New Roman" w:hAnsi="Times New Roman" w:cs="Times New Roman"/>
          <w:sz w:val="20"/>
          <w:szCs w:val="20"/>
        </w:rPr>
        <w:t xml:space="preserve">the P/B </w:t>
      </w:r>
      <w:r w:rsidR="00FA3AB3" w:rsidRPr="00612DE5">
        <w:rPr>
          <w:rFonts w:ascii="Times New Roman" w:hAnsi="Times New Roman" w:cs="Times New Roman"/>
          <w:sz w:val="20"/>
          <w:szCs w:val="20"/>
        </w:rPr>
        <w:t xml:space="preserve">ratio. </w:t>
      </w:r>
      <w:r w:rsidR="007C7F62" w:rsidRPr="00612DE5">
        <w:rPr>
          <w:rFonts w:ascii="Times New Roman" w:hAnsi="Times New Roman" w:cs="Times New Roman"/>
          <w:sz w:val="20"/>
          <w:szCs w:val="20"/>
        </w:rPr>
        <w:t>The model suggests that low</w:t>
      </w:r>
      <w:r w:rsidR="00FA3AB3" w:rsidRPr="00612DE5">
        <w:rPr>
          <w:rFonts w:ascii="Times New Roman" w:hAnsi="Times New Roman" w:cs="Times New Roman"/>
          <w:sz w:val="20"/>
          <w:szCs w:val="20"/>
        </w:rPr>
        <w:t xml:space="preserve">er P/B </w:t>
      </w:r>
      <w:r w:rsidR="00395FE1" w:rsidRPr="00612DE5">
        <w:rPr>
          <w:rFonts w:ascii="Times New Roman" w:hAnsi="Times New Roman" w:cs="Times New Roman"/>
          <w:sz w:val="20"/>
          <w:szCs w:val="20"/>
        </w:rPr>
        <w:t xml:space="preserve">ratio </w:t>
      </w:r>
      <w:r w:rsidR="00FA3AB3" w:rsidRPr="00612DE5">
        <w:rPr>
          <w:rFonts w:ascii="Times New Roman" w:hAnsi="Times New Roman" w:cs="Times New Roman"/>
          <w:sz w:val="20"/>
          <w:szCs w:val="20"/>
        </w:rPr>
        <w:t xml:space="preserve">leads to higher expected return if ROE exceeds the earnings growth and/or </w:t>
      </w:r>
      <w:r w:rsidR="00395FE1" w:rsidRPr="00612DE5">
        <w:rPr>
          <w:rFonts w:ascii="Times New Roman" w:hAnsi="Times New Roman" w:cs="Times New Roman"/>
          <w:sz w:val="20"/>
          <w:szCs w:val="20"/>
        </w:rPr>
        <w:t xml:space="preserve">the </w:t>
      </w:r>
      <w:r w:rsidR="00FA3AB3" w:rsidRPr="00612DE5">
        <w:rPr>
          <w:rFonts w:ascii="Times New Roman" w:hAnsi="Times New Roman" w:cs="Times New Roman"/>
          <w:sz w:val="20"/>
          <w:szCs w:val="20"/>
        </w:rPr>
        <w:t>Δ</w:t>
      </w:r>
      <w:r w:rsidR="001B56C1" w:rsidRPr="00612DE5">
        <w:rPr>
          <w:rFonts w:ascii="Times New Roman" w:hAnsi="Times New Roman" w:cs="Times New Roman"/>
          <w:sz w:val="20"/>
          <w:szCs w:val="20"/>
        </w:rPr>
        <w:t>P</w:t>
      </w:r>
      <w:r w:rsidR="00FA3AB3" w:rsidRPr="00612DE5">
        <w:rPr>
          <w:rFonts w:ascii="Times New Roman" w:hAnsi="Times New Roman" w:cs="Times New Roman"/>
          <w:sz w:val="20"/>
          <w:szCs w:val="20"/>
        </w:rPr>
        <w:t xml:space="preserve">B is positive. Since ROEs of most firms exceed their earnings growth rate, low P/B </w:t>
      </w:r>
      <w:r w:rsidR="00395FE1" w:rsidRPr="00612DE5">
        <w:rPr>
          <w:rFonts w:ascii="Times New Roman" w:hAnsi="Times New Roman" w:cs="Times New Roman"/>
          <w:sz w:val="20"/>
          <w:szCs w:val="20"/>
        </w:rPr>
        <w:t xml:space="preserve">ratio </w:t>
      </w:r>
      <w:r w:rsidR="00FA3AB3" w:rsidRPr="00612DE5">
        <w:rPr>
          <w:rFonts w:ascii="Times New Roman" w:hAnsi="Times New Roman" w:cs="Times New Roman"/>
          <w:sz w:val="20"/>
          <w:szCs w:val="20"/>
        </w:rPr>
        <w:t xml:space="preserve">is a desirable investment heuristic to investors. This strategy has been extensively utilized in securities markets and is known as value investing – a theoretical ratification on the strategy. </w:t>
      </w:r>
      <w:r w:rsidR="008E5820" w:rsidRPr="00612DE5">
        <w:rPr>
          <w:rFonts w:ascii="Times New Roman" w:hAnsi="Times New Roman" w:cs="Times New Roman"/>
          <w:sz w:val="20"/>
          <w:szCs w:val="20"/>
        </w:rPr>
        <w:t>The principles of DCF valuation and the studies of Wilcox and Estep provide theoretical endorsement on the use of the a</w:t>
      </w:r>
      <w:r w:rsidR="001C0F35" w:rsidRPr="00612DE5">
        <w:rPr>
          <w:rFonts w:ascii="Times New Roman" w:hAnsi="Times New Roman" w:cs="Times New Roman"/>
          <w:sz w:val="20"/>
          <w:szCs w:val="20"/>
        </w:rPr>
        <w:t>bove-mentioned four value determinant</w:t>
      </w:r>
      <w:r w:rsidR="008E5820" w:rsidRPr="00612DE5">
        <w:rPr>
          <w:rFonts w:ascii="Times New Roman" w:hAnsi="Times New Roman" w:cs="Times New Roman"/>
          <w:sz w:val="20"/>
          <w:szCs w:val="20"/>
        </w:rPr>
        <w:t xml:space="preserve">s. </w:t>
      </w:r>
      <w:r w:rsidR="00FB29E6" w:rsidRPr="00612DE5">
        <w:rPr>
          <w:rFonts w:ascii="Times New Roman" w:hAnsi="Times New Roman" w:cs="Times New Roman"/>
          <w:sz w:val="20"/>
          <w:szCs w:val="20"/>
        </w:rPr>
        <w:t>An empirical extension to the preliminary tests of the T-model</w:t>
      </w:r>
      <w:r w:rsidR="008E5820" w:rsidRPr="00612DE5">
        <w:rPr>
          <w:rFonts w:ascii="Times New Roman" w:hAnsi="Times New Roman" w:cs="Times New Roman"/>
          <w:sz w:val="20"/>
          <w:szCs w:val="20"/>
        </w:rPr>
        <w:t xml:space="preserve"> and the Wilcox equation</w:t>
      </w:r>
      <w:r w:rsidR="00107E3D" w:rsidRPr="00612DE5">
        <w:rPr>
          <w:rFonts w:ascii="Times New Roman" w:hAnsi="Times New Roman" w:cs="Times New Roman"/>
          <w:sz w:val="20"/>
          <w:szCs w:val="20"/>
        </w:rPr>
        <w:t xml:space="preserve"> is the present</w:t>
      </w:r>
      <w:r w:rsidR="00FB29E6" w:rsidRPr="00612DE5">
        <w:rPr>
          <w:rFonts w:ascii="Times New Roman" w:hAnsi="Times New Roman" w:cs="Times New Roman"/>
          <w:sz w:val="20"/>
          <w:szCs w:val="20"/>
        </w:rPr>
        <w:t xml:space="preserve"> study that uses a broad range of d</w:t>
      </w:r>
      <w:r w:rsidR="004A51E4" w:rsidRPr="00612DE5">
        <w:rPr>
          <w:rFonts w:ascii="Times New Roman" w:hAnsi="Times New Roman" w:cs="Times New Roman"/>
          <w:sz w:val="20"/>
          <w:szCs w:val="20"/>
        </w:rPr>
        <w:t xml:space="preserve">ata and </w:t>
      </w:r>
      <w:r w:rsidR="00107E3D" w:rsidRPr="00612DE5">
        <w:rPr>
          <w:rFonts w:ascii="Times New Roman" w:hAnsi="Times New Roman" w:cs="Times New Roman"/>
          <w:sz w:val="20"/>
          <w:szCs w:val="20"/>
        </w:rPr>
        <w:t>empirically show</w:t>
      </w:r>
      <w:r w:rsidR="004A51E4" w:rsidRPr="00612DE5">
        <w:rPr>
          <w:rFonts w:ascii="Times New Roman" w:hAnsi="Times New Roman" w:cs="Times New Roman"/>
          <w:sz w:val="20"/>
          <w:szCs w:val="20"/>
        </w:rPr>
        <w:t xml:space="preserve">s the hidden </w:t>
      </w:r>
      <w:r w:rsidR="00FB29E6" w:rsidRPr="00612DE5">
        <w:rPr>
          <w:rFonts w:ascii="Times New Roman" w:hAnsi="Times New Roman" w:cs="Times New Roman"/>
          <w:sz w:val="20"/>
          <w:szCs w:val="20"/>
        </w:rPr>
        <w:t xml:space="preserve">role of </w:t>
      </w:r>
      <w:r w:rsidR="00B411EA" w:rsidRPr="00612DE5">
        <w:rPr>
          <w:rFonts w:ascii="Times New Roman" w:hAnsi="Times New Roman" w:cs="Times New Roman"/>
          <w:sz w:val="20"/>
          <w:szCs w:val="20"/>
        </w:rPr>
        <w:t xml:space="preserve">the </w:t>
      </w:r>
      <w:r w:rsidR="00FB29E6" w:rsidRPr="00612DE5">
        <w:rPr>
          <w:rFonts w:ascii="Times New Roman" w:hAnsi="Times New Roman" w:cs="Times New Roman"/>
          <w:sz w:val="20"/>
          <w:szCs w:val="20"/>
        </w:rPr>
        <w:t>Δ</w:t>
      </w:r>
      <w:r w:rsidR="001B56C1" w:rsidRPr="00612DE5">
        <w:rPr>
          <w:rFonts w:ascii="Times New Roman" w:hAnsi="Times New Roman" w:cs="Times New Roman"/>
          <w:sz w:val="20"/>
          <w:szCs w:val="20"/>
        </w:rPr>
        <w:t>P</w:t>
      </w:r>
      <w:r w:rsidR="001C0F35" w:rsidRPr="00612DE5">
        <w:rPr>
          <w:rFonts w:ascii="Times New Roman" w:hAnsi="Times New Roman" w:cs="Times New Roman"/>
          <w:sz w:val="20"/>
          <w:szCs w:val="20"/>
        </w:rPr>
        <w:t>B</w:t>
      </w:r>
      <w:r w:rsidR="00B411EA" w:rsidRPr="00612DE5">
        <w:rPr>
          <w:rFonts w:ascii="Times New Roman" w:hAnsi="Times New Roman" w:cs="Times New Roman"/>
          <w:sz w:val="20"/>
          <w:szCs w:val="20"/>
        </w:rPr>
        <w:t xml:space="preserve"> in asset pricing</w:t>
      </w:r>
      <w:r w:rsidR="004A51E4" w:rsidRPr="00612DE5">
        <w:rPr>
          <w:rFonts w:ascii="Times New Roman" w:hAnsi="Times New Roman" w:cs="Times New Roman"/>
          <w:sz w:val="20"/>
          <w:szCs w:val="20"/>
        </w:rPr>
        <w:t xml:space="preserve">. </w:t>
      </w:r>
      <w:r w:rsidR="008E5820" w:rsidRPr="00612DE5">
        <w:rPr>
          <w:rFonts w:ascii="Times New Roman" w:hAnsi="Times New Roman" w:cs="Times New Roman"/>
          <w:sz w:val="20"/>
          <w:szCs w:val="20"/>
        </w:rPr>
        <w:t xml:space="preserve"> </w:t>
      </w:r>
      <w:r w:rsidR="00FB29E6" w:rsidRPr="00612DE5">
        <w:rPr>
          <w:rFonts w:ascii="Times New Roman" w:hAnsi="Times New Roman" w:cs="Times New Roman"/>
          <w:sz w:val="20"/>
          <w:szCs w:val="20"/>
        </w:rPr>
        <w:t xml:space="preserve">  </w:t>
      </w:r>
    </w:p>
    <w:p w:rsidR="00056E89" w:rsidRPr="00612DE5" w:rsidRDefault="00B411EA"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t xml:space="preserve">The </w:t>
      </w:r>
      <w:r w:rsidR="00655658" w:rsidRPr="00612DE5">
        <w:rPr>
          <w:rFonts w:ascii="Times New Roman" w:hAnsi="Times New Roman" w:cs="Times New Roman"/>
          <w:sz w:val="20"/>
          <w:szCs w:val="20"/>
        </w:rPr>
        <w:t>P/B</w:t>
      </w:r>
      <w:r w:rsidRPr="00612DE5">
        <w:rPr>
          <w:rFonts w:ascii="Times New Roman" w:hAnsi="Times New Roman" w:cs="Times New Roman"/>
          <w:sz w:val="20"/>
          <w:szCs w:val="20"/>
        </w:rPr>
        <w:t xml:space="preserve"> ratio</w:t>
      </w:r>
      <w:r w:rsidR="00655658" w:rsidRPr="00612DE5">
        <w:rPr>
          <w:rFonts w:ascii="Times New Roman" w:hAnsi="Times New Roman" w:cs="Times New Roman"/>
          <w:sz w:val="20"/>
          <w:szCs w:val="20"/>
        </w:rPr>
        <w:t xml:space="preserve"> has been one of the most popular valuat</w:t>
      </w:r>
      <w:r w:rsidR="00980025" w:rsidRPr="00612DE5">
        <w:rPr>
          <w:rFonts w:ascii="Times New Roman" w:hAnsi="Times New Roman" w:cs="Times New Roman"/>
          <w:sz w:val="20"/>
          <w:szCs w:val="20"/>
        </w:rPr>
        <w:t>ion ratios used in explaining the variability of returns to equity. The most influential and celebrated is</w:t>
      </w:r>
      <w:r w:rsidR="00706BF0" w:rsidRPr="00612DE5">
        <w:rPr>
          <w:rFonts w:ascii="Times New Roman" w:hAnsi="Times New Roman" w:cs="Times New Roman"/>
          <w:sz w:val="20"/>
          <w:szCs w:val="20"/>
        </w:rPr>
        <w:t xml:space="preserve"> the study of Fama and French (</w:t>
      </w:r>
      <w:r w:rsidR="00980025" w:rsidRPr="00612DE5">
        <w:rPr>
          <w:rFonts w:ascii="Times New Roman" w:hAnsi="Times New Roman" w:cs="Times New Roman"/>
          <w:sz w:val="20"/>
          <w:szCs w:val="20"/>
        </w:rPr>
        <w:t>1992</w:t>
      </w:r>
      <w:r w:rsidR="00706BF0" w:rsidRPr="00612DE5">
        <w:rPr>
          <w:rFonts w:ascii="Times New Roman" w:hAnsi="Times New Roman" w:cs="Times New Roman"/>
          <w:sz w:val="20"/>
          <w:szCs w:val="20"/>
        </w:rPr>
        <w:t>)</w:t>
      </w:r>
      <w:r w:rsidR="00980025" w:rsidRPr="00612DE5">
        <w:rPr>
          <w:rFonts w:ascii="Times New Roman" w:hAnsi="Times New Roman" w:cs="Times New Roman"/>
          <w:sz w:val="20"/>
          <w:szCs w:val="20"/>
        </w:rPr>
        <w:t xml:space="preserve">. The two authors </w:t>
      </w:r>
      <w:r w:rsidR="001F0491" w:rsidRPr="00612DE5">
        <w:rPr>
          <w:rFonts w:ascii="Times New Roman" w:hAnsi="Times New Roman" w:cs="Times New Roman"/>
          <w:sz w:val="20"/>
          <w:szCs w:val="20"/>
        </w:rPr>
        <w:t>assess</w:t>
      </w:r>
      <w:r w:rsidR="00980025" w:rsidRPr="00612DE5">
        <w:rPr>
          <w:rFonts w:ascii="Times New Roman" w:hAnsi="Times New Roman" w:cs="Times New Roman"/>
          <w:sz w:val="20"/>
          <w:szCs w:val="20"/>
        </w:rPr>
        <w:t xml:space="preserve"> the interactive effect of systematic risk of market beta, market value of equity, </w:t>
      </w:r>
      <w:r w:rsidR="001F0491" w:rsidRPr="00612DE5">
        <w:rPr>
          <w:rFonts w:ascii="Times New Roman" w:hAnsi="Times New Roman" w:cs="Times New Roman"/>
          <w:sz w:val="20"/>
          <w:szCs w:val="20"/>
        </w:rPr>
        <w:t xml:space="preserve">financial leverage, and </w:t>
      </w:r>
      <w:r w:rsidR="00395FE1" w:rsidRPr="00612DE5">
        <w:rPr>
          <w:rFonts w:ascii="Times New Roman" w:hAnsi="Times New Roman" w:cs="Times New Roman"/>
          <w:sz w:val="20"/>
          <w:szCs w:val="20"/>
        </w:rPr>
        <w:t xml:space="preserve">the </w:t>
      </w:r>
      <w:r w:rsidR="001F0491" w:rsidRPr="00612DE5">
        <w:rPr>
          <w:rFonts w:ascii="Times New Roman" w:hAnsi="Times New Roman" w:cs="Times New Roman"/>
          <w:sz w:val="20"/>
          <w:szCs w:val="20"/>
        </w:rPr>
        <w:t xml:space="preserve">P/B </w:t>
      </w:r>
      <w:r w:rsidR="00395FE1" w:rsidRPr="00612DE5">
        <w:rPr>
          <w:rFonts w:ascii="Times New Roman" w:hAnsi="Times New Roman" w:cs="Times New Roman"/>
          <w:sz w:val="20"/>
          <w:szCs w:val="20"/>
        </w:rPr>
        <w:t xml:space="preserve">ratio </w:t>
      </w:r>
      <w:r w:rsidR="001F0491" w:rsidRPr="00612DE5">
        <w:rPr>
          <w:rFonts w:ascii="Times New Roman" w:hAnsi="Times New Roman" w:cs="Times New Roman"/>
          <w:sz w:val="20"/>
          <w:szCs w:val="20"/>
        </w:rPr>
        <w:t>on average returns of the publicly traded stocks on NYSE, AMEX, and NASDAQ</w:t>
      </w:r>
      <w:r w:rsidR="00B45BFE" w:rsidRPr="00612DE5">
        <w:rPr>
          <w:rFonts w:ascii="Times New Roman" w:hAnsi="Times New Roman" w:cs="Times New Roman"/>
          <w:sz w:val="20"/>
          <w:szCs w:val="20"/>
        </w:rPr>
        <w:t xml:space="preserve"> for the 1963-1990</w:t>
      </w:r>
      <w:r w:rsidR="00056E89" w:rsidRPr="00612DE5">
        <w:rPr>
          <w:rFonts w:ascii="Times New Roman" w:hAnsi="Times New Roman" w:cs="Times New Roman"/>
          <w:sz w:val="20"/>
          <w:szCs w:val="20"/>
        </w:rPr>
        <w:t xml:space="preserve"> </w:t>
      </w:r>
      <w:r w:rsidR="00B45BFE" w:rsidRPr="00612DE5">
        <w:rPr>
          <w:rFonts w:ascii="Times New Roman" w:hAnsi="Times New Roman" w:cs="Times New Roman"/>
          <w:sz w:val="20"/>
          <w:szCs w:val="20"/>
        </w:rPr>
        <w:t>period</w:t>
      </w:r>
      <w:r w:rsidR="001F0491" w:rsidRPr="00612DE5">
        <w:rPr>
          <w:rFonts w:ascii="Times New Roman" w:hAnsi="Times New Roman" w:cs="Times New Roman"/>
          <w:sz w:val="20"/>
          <w:szCs w:val="20"/>
        </w:rPr>
        <w:t xml:space="preserve">. A surprising result is that the market beta </w:t>
      </w:r>
      <w:r w:rsidR="00B45BFE" w:rsidRPr="00612DE5">
        <w:rPr>
          <w:rFonts w:ascii="Times New Roman" w:hAnsi="Times New Roman" w:cs="Times New Roman"/>
          <w:sz w:val="20"/>
          <w:szCs w:val="20"/>
        </w:rPr>
        <w:t xml:space="preserve">– long-believed predictor of stock returns – </w:t>
      </w:r>
      <w:r w:rsidR="001F0491" w:rsidRPr="00612DE5">
        <w:rPr>
          <w:rFonts w:ascii="Times New Roman" w:hAnsi="Times New Roman" w:cs="Times New Roman"/>
          <w:sz w:val="20"/>
          <w:szCs w:val="20"/>
        </w:rPr>
        <w:t>has little influence on explaining the cross-section of stock re</w:t>
      </w:r>
      <w:r w:rsidR="0056412D" w:rsidRPr="00612DE5">
        <w:rPr>
          <w:rFonts w:ascii="Times New Roman" w:hAnsi="Times New Roman" w:cs="Times New Roman"/>
          <w:sz w:val="20"/>
          <w:szCs w:val="20"/>
        </w:rPr>
        <w:t xml:space="preserve">turns, while </w:t>
      </w:r>
      <w:r w:rsidR="00395FE1" w:rsidRPr="00612DE5">
        <w:rPr>
          <w:rFonts w:ascii="Times New Roman" w:hAnsi="Times New Roman" w:cs="Times New Roman"/>
          <w:sz w:val="20"/>
          <w:szCs w:val="20"/>
        </w:rPr>
        <w:t xml:space="preserve">the </w:t>
      </w:r>
      <w:r w:rsidR="001F0491" w:rsidRPr="00612DE5">
        <w:rPr>
          <w:rFonts w:ascii="Times New Roman" w:hAnsi="Times New Roman" w:cs="Times New Roman"/>
          <w:sz w:val="20"/>
          <w:szCs w:val="20"/>
        </w:rPr>
        <w:t xml:space="preserve">P/B </w:t>
      </w:r>
      <w:r w:rsidR="00395FE1" w:rsidRPr="00612DE5">
        <w:rPr>
          <w:rFonts w:ascii="Times New Roman" w:hAnsi="Times New Roman" w:cs="Times New Roman"/>
          <w:sz w:val="20"/>
          <w:szCs w:val="20"/>
        </w:rPr>
        <w:t xml:space="preserve">ratio </w:t>
      </w:r>
      <w:r w:rsidR="001F0491" w:rsidRPr="00612DE5">
        <w:rPr>
          <w:rFonts w:ascii="Times New Roman" w:hAnsi="Times New Roman" w:cs="Times New Roman"/>
          <w:sz w:val="20"/>
          <w:szCs w:val="20"/>
        </w:rPr>
        <w:t xml:space="preserve">along with size </w:t>
      </w:r>
      <w:r w:rsidR="00B45BFE" w:rsidRPr="00612DE5">
        <w:rPr>
          <w:rFonts w:ascii="Times New Roman" w:hAnsi="Times New Roman" w:cs="Times New Roman"/>
          <w:sz w:val="20"/>
          <w:szCs w:val="20"/>
        </w:rPr>
        <w:t>appears to portray the movements of st</w:t>
      </w:r>
      <w:r w:rsidR="003E3604" w:rsidRPr="00612DE5">
        <w:rPr>
          <w:rFonts w:ascii="Times New Roman" w:hAnsi="Times New Roman" w:cs="Times New Roman"/>
          <w:sz w:val="20"/>
          <w:szCs w:val="20"/>
        </w:rPr>
        <w:t xml:space="preserve">ock prices in a systematic way. </w:t>
      </w:r>
    </w:p>
    <w:p w:rsidR="00CD333B" w:rsidRPr="00612DE5" w:rsidRDefault="00395FE1"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t xml:space="preserve">An earlier work that reports the effects of size and the P/B ratio on stock returns is Merton’s (1973). He states that additional factors like the size premium and value premium are required to capture the non-diversifiable risks that the standard capital asset pricing model fails to describe. Stattman (1980), Rosenberg et al. (1985), and Chan et al. (1991) join this line of study and all emphasize the positive and important role of the P/B ratio in explaining the stock returns of the U.S. and Japanese firms. Granted the words from La Porta (1996) that the investor expectations are manifested in the P/B ratio, the strong stance of the P/B ratio in equity valuation is convincingly expected. Some studies are, however, less supportive of the P/B ratio. Kim and Ritter (1999) study the valuation of initial public offerings (IPOs) with respect to the relative valuation. Pointing out the wide variation in price multiples, they argue  that the relative valuation based on the P/B, P/E, and price-sales (P/S) ratios of comparable firms does not capture many idiosyncratic components of those firms and should be adjusted for idiosyncrasy. Modeling the association between market price and intrinsic value from the residual income model in a cointegrated system for the Dow Jones </w:t>
      </w:r>
      <w:r w:rsidRPr="00612DE5">
        <w:rPr>
          <w:rFonts w:ascii="Times New Roman" w:hAnsi="Times New Roman" w:cs="Times New Roman"/>
          <w:sz w:val="20"/>
          <w:szCs w:val="20"/>
        </w:rPr>
        <w:lastRenderedPageBreak/>
        <w:t>Index companies, Lee et al. (1999) provide additional evidence that traditional market multiples including the P/B ratio have less predictive power of forecasting the U.S. market returns than the intrinsic value-to-price (V/P) ratio during the 1963-1996 period. Nevertheless, since the Fama and French’s research, it has become a norm to include the P/B ratio as a critical risk factor in rationalizing stock returns. This paper is in line with the prior studies in that it investigates the relation between equity returns and value determinants including the conventional P/B ratio. On the other hand, putting emphasis on the ΔPB as opposed to the P/B ratio differentiates the current study from the existing.</w:t>
      </w:r>
    </w:p>
    <w:p w:rsidR="008E5820" w:rsidRPr="00612DE5" w:rsidRDefault="00D0136D" w:rsidP="00612DE5">
      <w:pPr>
        <w:pStyle w:val="a3"/>
        <w:numPr>
          <w:ilvl w:val="0"/>
          <w:numId w:val="14"/>
        </w:numPr>
        <w:spacing w:after="0" w:line="480" w:lineRule="auto"/>
        <w:ind w:left="851" w:hanging="851"/>
        <w:jc w:val="both"/>
        <w:rPr>
          <w:rFonts w:ascii="Times New Roman" w:hAnsi="Times New Roman" w:cs="Times New Roman"/>
          <w:b/>
          <w:sz w:val="30"/>
          <w:szCs w:val="30"/>
        </w:rPr>
      </w:pPr>
      <w:r w:rsidRPr="00612DE5">
        <w:rPr>
          <w:rFonts w:ascii="Times New Roman" w:hAnsi="Times New Roman" w:cs="Times New Roman"/>
          <w:b/>
          <w:sz w:val="30"/>
          <w:szCs w:val="30"/>
        </w:rPr>
        <w:t xml:space="preserve">Data and </w:t>
      </w:r>
      <w:r w:rsidR="00CB7235" w:rsidRPr="00612DE5">
        <w:rPr>
          <w:rFonts w:ascii="Times New Roman" w:hAnsi="Times New Roman" w:cs="Times New Roman"/>
          <w:b/>
          <w:sz w:val="30"/>
          <w:szCs w:val="30"/>
        </w:rPr>
        <w:t>M</w:t>
      </w:r>
      <w:r w:rsidRPr="00612DE5">
        <w:rPr>
          <w:rFonts w:ascii="Times New Roman" w:hAnsi="Times New Roman" w:cs="Times New Roman"/>
          <w:b/>
          <w:sz w:val="30"/>
          <w:szCs w:val="30"/>
        </w:rPr>
        <w:t>ethodology</w:t>
      </w:r>
    </w:p>
    <w:p w:rsidR="00D0136D" w:rsidRPr="00612DE5" w:rsidRDefault="00395FE1"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t>The empirical analysis operates on annual observations (firm-years) of total stock return, earnings growth, ROE, P/B ratio, and ΔPB compiled on COMPUSTAT. The sample contains the public U.S. firms traded on NYSE, AMEX, or NASDAQ. I remove extreme observations – observations likely with measurement errors – by imposing the cutoffs on the two opposite sides of the distribution for each of the five variables. Specifically, the observations outside three standard deviations away from the mean of a variable are excluded. Since the distributions of the variables do not resemble a normal distribution, I only lose a minor portion of observations – about 2% of total observations. Then, I divide the sample into different categories of observations based on four index styles – Dow Jones 30 Index, S&amp;P Mid Cap Index, S&amp;P Small Cap Index, and S&amp;P 1500 Composite Index. The sample includes 48 years of annual observations from 1962 to 2009.</w:t>
      </w:r>
    </w:p>
    <w:p w:rsidR="00395FE1" w:rsidRPr="00612DE5" w:rsidRDefault="00395FE1"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t xml:space="preserve">The Dow Jones 30 Index is the second oldest U.S. market index that comprises thirty large, publically traded U.S. stocks. The S&amp;P Mid Cap Index represents four hundred mid-sized firms with risk and return profiles different from both large and small-size firms. The six hundred firms in the S&amp;P Small Cap Index are characterized by lower liquidity and higher instability relative to larger firms. Finally, the S&amp;P 1500 Index combines all firms in the Dow Jones, S&amp;P Mid Cap, Small Cap, and 500 indexes totaling 1500 firms. It reflects the general stock market.  This categorization indirectly controls for the possible size effect. </w:t>
      </w:r>
    </w:p>
    <w:p w:rsidR="00395FE1" w:rsidRPr="00612DE5" w:rsidRDefault="00395FE1"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t xml:space="preserve">For </w:t>
      </w:r>
      <w:r w:rsidR="009C7900" w:rsidRPr="00612DE5">
        <w:rPr>
          <w:rFonts w:ascii="Times New Roman" w:hAnsi="Times New Roman" w:cs="Times New Roman"/>
          <w:sz w:val="20"/>
          <w:szCs w:val="20"/>
        </w:rPr>
        <w:t xml:space="preserve">the </w:t>
      </w:r>
      <w:r w:rsidRPr="00612DE5">
        <w:rPr>
          <w:rFonts w:ascii="Times New Roman" w:hAnsi="Times New Roman" w:cs="Times New Roman"/>
          <w:sz w:val="20"/>
          <w:szCs w:val="20"/>
        </w:rPr>
        <w:t xml:space="preserve">portfolio return analysis, I classify the whole sample into the quintile portfolios on the basis of the value determinants. For instance, I form five portfolios of stock returns with respect to the P/B ratio ranging from a portfolio with the bottom 20% of the P/B ratios to one with the top 20% of the P/B ratios. The portfolios are rebalanced in each year. Their means, standard deviations (STDs), minimum returns, maximum returns, and coefficients of variation (CVs) are then computed for comparison. </w:t>
      </w:r>
    </w:p>
    <w:p w:rsidR="00395FE1" w:rsidRPr="00612DE5" w:rsidRDefault="00395FE1"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lastRenderedPageBreak/>
        <w:t xml:space="preserve">To examine the relation between stock returns and value determinants, I employ the fixed effects panel regression model to correct for two unreasonable assumptions in the pooled regression about the mean returns across firms and over time: 1) the time-invariant but firm-variant mean stock return and 2) the firm-invariant but time-variant mean stock return. The inclusion of these two terms mitigates the potential problems of heteroscedasticity and autocorrelation in the error term. For the purpose of comparison and robustness check, I also report two versions of the pooled regression analysis, a simple pooled regression and a pooled regression with Newey-West heteroscedasticity-autocorrelation consistent (HAC) standard errors.  </w:t>
      </w:r>
    </w:p>
    <w:p w:rsidR="005564D0" w:rsidRPr="00612DE5" w:rsidRDefault="00395FE1" w:rsidP="00612DE5">
      <w:pPr>
        <w:spacing w:after="0" w:line="480" w:lineRule="auto"/>
        <w:ind w:firstLine="426"/>
        <w:jc w:val="both"/>
        <w:rPr>
          <w:rFonts w:ascii="Times New Roman" w:hAnsi="Times New Roman" w:cs="Times New Roman"/>
          <w:sz w:val="20"/>
          <w:szCs w:val="20"/>
        </w:rPr>
      </w:pPr>
      <w:r w:rsidRPr="00612DE5">
        <w:rPr>
          <w:rFonts w:ascii="Times New Roman" w:hAnsi="Times New Roman" w:cs="Times New Roman"/>
          <w:sz w:val="20"/>
          <w:szCs w:val="20"/>
        </w:rPr>
        <w:t>I use the fixed effects panel regression against the random effects model, since the cross-sectional random component in the latter is likely correlated with one or more independent variables. If they are correlated, the estimators of the random effects model are biased, whereas those of the fixed effects model are unbiased. The fixed effects panel regression, however, is not without problems. A major advantage of using the fixed effects panel regression is that the firm level fixed effect can compensate for omitted variable bias. But, it is unlikely that omitted variables per firm would remain stable for 48 years. In the same way, the time fixed effect can compensate for omitted variables that are constant over firms in the same year. In other words, the fixed effects take care of market wide effects but ignore industry level and firm level effects. To address these possible drawbacks of the fixed effects model, I cross-check the empirical results of the fixed effects model with those obtained from the random effects model that provides more efficient estimators when the number of cross-sectional units is large and the number of time series data (i.e., years) is small. It is found that the results of the two models are virtually identical. Therefore, for brevity I only report the results of the fixed effects model.</w:t>
      </w:r>
      <w:r w:rsidR="00036082" w:rsidRPr="00612DE5">
        <w:rPr>
          <w:rFonts w:ascii="Times New Roman" w:hAnsi="Times New Roman" w:cs="Times New Roman"/>
          <w:sz w:val="20"/>
          <w:szCs w:val="20"/>
        </w:rPr>
        <w:t xml:space="preserve"> </w:t>
      </w:r>
    </w:p>
    <w:p w:rsidR="00EC26A5" w:rsidRPr="00612DE5" w:rsidRDefault="00224B68" w:rsidP="00612DE5">
      <w:pPr>
        <w:pStyle w:val="a3"/>
        <w:numPr>
          <w:ilvl w:val="0"/>
          <w:numId w:val="14"/>
        </w:numPr>
        <w:spacing w:after="0" w:line="480" w:lineRule="auto"/>
        <w:ind w:left="851" w:hanging="851"/>
        <w:jc w:val="both"/>
        <w:rPr>
          <w:rFonts w:ascii="Times New Roman" w:hAnsi="Times New Roman" w:cs="Times New Roman"/>
          <w:b/>
          <w:sz w:val="30"/>
          <w:szCs w:val="30"/>
        </w:rPr>
      </w:pPr>
      <w:r w:rsidRPr="00612DE5">
        <w:rPr>
          <w:rFonts w:ascii="Times New Roman" w:hAnsi="Times New Roman" w:cs="Times New Roman"/>
          <w:b/>
          <w:sz w:val="30"/>
          <w:szCs w:val="30"/>
        </w:rPr>
        <w:t>Empirical Results</w:t>
      </w:r>
      <w:r w:rsidR="002C17D9" w:rsidRPr="00612DE5">
        <w:rPr>
          <w:rFonts w:ascii="Times New Roman" w:hAnsi="Times New Roman" w:cs="Times New Roman"/>
          <w:b/>
          <w:sz w:val="30"/>
          <w:szCs w:val="30"/>
        </w:rPr>
        <w:t xml:space="preserve"> and Discussion</w:t>
      </w:r>
    </w:p>
    <w:p w:rsidR="00434504" w:rsidRPr="0078633D" w:rsidRDefault="00434504" w:rsidP="0078633D">
      <w:pPr>
        <w:pStyle w:val="a3"/>
        <w:numPr>
          <w:ilvl w:val="0"/>
          <w:numId w:val="15"/>
        </w:numPr>
        <w:spacing w:after="0" w:line="480" w:lineRule="auto"/>
        <w:jc w:val="both"/>
        <w:rPr>
          <w:rFonts w:ascii="Times New Roman" w:hAnsi="Times New Roman" w:cs="Times New Roman"/>
          <w:sz w:val="26"/>
          <w:szCs w:val="26"/>
        </w:rPr>
      </w:pPr>
      <w:r w:rsidRPr="0078633D">
        <w:rPr>
          <w:rFonts w:ascii="Times New Roman" w:hAnsi="Times New Roman" w:cs="Times New Roman"/>
          <w:sz w:val="26"/>
          <w:szCs w:val="26"/>
        </w:rPr>
        <w:t>Characteristics of Four Market Indexes</w:t>
      </w:r>
    </w:p>
    <w:p w:rsidR="00250C9D" w:rsidRPr="0078633D" w:rsidRDefault="00B64AE0"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1</w:t>
      </w:r>
      <w:r w:rsidR="00434504" w:rsidRPr="0078633D">
        <w:rPr>
          <w:rFonts w:ascii="Times New Roman" w:hAnsi="Times New Roman" w:cs="Times New Roman"/>
          <w:sz w:val="20"/>
          <w:szCs w:val="20"/>
        </w:rPr>
        <w:t xml:space="preserve"> summarizes the index-specifi</w:t>
      </w:r>
      <w:r w:rsidR="001B24CB" w:rsidRPr="0078633D">
        <w:rPr>
          <w:rFonts w:ascii="Times New Roman" w:hAnsi="Times New Roman" w:cs="Times New Roman"/>
          <w:sz w:val="20"/>
          <w:szCs w:val="20"/>
        </w:rPr>
        <w:t xml:space="preserve">c descriptive statistics of </w:t>
      </w:r>
      <w:r w:rsidR="00434504" w:rsidRPr="0078633D">
        <w:rPr>
          <w:rFonts w:ascii="Times New Roman" w:hAnsi="Times New Roman" w:cs="Times New Roman"/>
          <w:sz w:val="20"/>
          <w:szCs w:val="20"/>
        </w:rPr>
        <w:t>stock return</w:t>
      </w:r>
      <w:r w:rsidR="001B24CB" w:rsidRPr="0078633D">
        <w:rPr>
          <w:rFonts w:ascii="Times New Roman" w:hAnsi="Times New Roman" w:cs="Times New Roman"/>
          <w:sz w:val="20"/>
          <w:szCs w:val="20"/>
        </w:rPr>
        <w:t xml:space="preserve">s and </w:t>
      </w:r>
      <w:r w:rsidR="00434504" w:rsidRPr="0078633D">
        <w:rPr>
          <w:rFonts w:ascii="Times New Roman" w:hAnsi="Times New Roman" w:cs="Times New Roman"/>
          <w:sz w:val="20"/>
          <w:szCs w:val="20"/>
        </w:rPr>
        <w:t>four value determinants.  As expected, the S&amp;P Small Cap shows the highest mean return</w:t>
      </w:r>
      <w:r w:rsidR="007A7706" w:rsidRPr="0078633D">
        <w:rPr>
          <w:rFonts w:ascii="Times New Roman" w:hAnsi="Times New Roman" w:cs="Times New Roman"/>
          <w:sz w:val="20"/>
          <w:szCs w:val="20"/>
        </w:rPr>
        <w:t xml:space="preserve"> (RET)</w:t>
      </w:r>
      <w:r w:rsidR="00434504" w:rsidRPr="0078633D">
        <w:rPr>
          <w:rFonts w:ascii="Times New Roman" w:hAnsi="Times New Roman" w:cs="Times New Roman"/>
          <w:sz w:val="20"/>
          <w:szCs w:val="20"/>
        </w:rPr>
        <w:t xml:space="preserve"> with the highest standard deviation over the period from 1962 to 2009. The DJIA displays the opposite trend – lowest return with lowest standard </w:t>
      </w:r>
      <w:r w:rsidR="007A7706" w:rsidRPr="0078633D">
        <w:rPr>
          <w:rFonts w:ascii="Times New Roman" w:hAnsi="Times New Roman" w:cs="Times New Roman"/>
          <w:sz w:val="20"/>
          <w:szCs w:val="20"/>
        </w:rPr>
        <w:t xml:space="preserve">deviation. </w:t>
      </w:r>
      <w:r w:rsidR="00432060" w:rsidRPr="0078633D">
        <w:rPr>
          <w:rFonts w:ascii="Times New Roman" w:hAnsi="Times New Roman" w:cs="Times New Roman"/>
          <w:sz w:val="20"/>
          <w:szCs w:val="20"/>
        </w:rPr>
        <w:t xml:space="preserve">The common rule of higher return for </w:t>
      </w:r>
      <w:r w:rsidR="001B24CB" w:rsidRPr="0078633D">
        <w:rPr>
          <w:rFonts w:ascii="Times New Roman" w:hAnsi="Times New Roman" w:cs="Times New Roman"/>
          <w:sz w:val="20"/>
          <w:szCs w:val="20"/>
        </w:rPr>
        <w:t>small-cap firms</w:t>
      </w:r>
      <w:r w:rsidR="00180D44" w:rsidRPr="0078633D">
        <w:rPr>
          <w:rFonts w:ascii="Times New Roman" w:hAnsi="Times New Roman" w:cs="Times New Roman"/>
          <w:sz w:val="20"/>
          <w:szCs w:val="20"/>
        </w:rPr>
        <w:t xml:space="preserve"> </w:t>
      </w:r>
      <w:r w:rsidR="0028364A" w:rsidRPr="0078633D">
        <w:rPr>
          <w:rFonts w:ascii="Times New Roman" w:hAnsi="Times New Roman" w:cs="Times New Roman"/>
          <w:sz w:val="20"/>
          <w:szCs w:val="20"/>
        </w:rPr>
        <w:t xml:space="preserve">clearly </w:t>
      </w:r>
      <w:r w:rsidR="001B24CB" w:rsidRPr="0078633D">
        <w:rPr>
          <w:rFonts w:ascii="Times New Roman" w:hAnsi="Times New Roman" w:cs="Times New Roman"/>
          <w:sz w:val="20"/>
          <w:szCs w:val="20"/>
        </w:rPr>
        <w:t>applies</w:t>
      </w:r>
      <w:r w:rsidR="00432060" w:rsidRPr="0078633D">
        <w:rPr>
          <w:rFonts w:ascii="Times New Roman" w:hAnsi="Times New Roman" w:cs="Times New Roman"/>
          <w:sz w:val="20"/>
          <w:szCs w:val="20"/>
        </w:rPr>
        <w:t xml:space="preserve">. </w:t>
      </w:r>
      <w:r w:rsidR="007A7706" w:rsidRPr="0078633D">
        <w:rPr>
          <w:rFonts w:ascii="Times New Roman" w:hAnsi="Times New Roman" w:cs="Times New Roman"/>
          <w:sz w:val="20"/>
          <w:szCs w:val="20"/>
        </w:rPr>
        <w:t xml:space="preserve">There is also </w:t>
      </w:r>
      <w:r w:rsidR="00B27F4B" w:rsidRPr="0078633D">
        <w:rPr>
          <w:rFonts w:ascii="Times New Roman" w:hAnsi="Times New Roman" w:cs="Times New Roman"/>
          <w:sz w:val="20"/>
          <w:szCs w:val="20"/>
        </w:rPr>
        <w:t>a declining</w:t>
      </w:r>
      <w:r w:rsidR="00835ACC" w:rsidRPr="0078633D">
        <w:rPr>
          <w:rFonts w:ascii="Times New Roman" w:hAnsi="Times New Roman" w:cs="Times New Roman"/>
          <w:sz w:val="20"/>
          <w:szCs w:val="20"/>
        </w:rPr>
        <w:t xml:space="preserve"> trend in mean</w:t>
      </w:r>
      <w:r w:rsidR="007A7706" w:rsidRPr="0078633D">
        <w:rPr>
          <w:rFonts w:ascii="Times New Roman" w:hAnsi="Times New Roman" w:cs="Times New Roman"/>
          <w:sz w:val="20"/>
          <w:szCs w:val="20"/>
        </w:rPr>
        <w:t xml:space="preserve"> earnings growth (GiE)</w:t>
      </w:r>
      <w:r w:rsidR="00434504" w:rsidRPr="0078633D">
        <w:rPr>
          <w:rFonts w:ascii="Times New Roman" w:hAnsi="Times New Roman" w:cs="Times New Roman"/>
          <w:sz w:val="20"/>
          <w:szCs w:val="20"/>
        </w:rPr>
        <w:t xml:space="preserve"> </w:t>
      </w:r>
      <w:r w:rsidR="007A7706" w:rsidRPr="0078633D">
        <w:rPr>
          <w:rFonts w:ascii="Times New Roman" w:hAnsi="Times New Roman" w:cs="Times New Roman"/>
          <w:sz w:val="20"/>
          <w:szCs w:val="20"/>
        </w:rPr>
        <w:t xml:space="preserve">from the </w:t>
      </w:r>
      <w:r w:rsidR="00B27F4B" w:rsidRPr="0078633D">
        <w:rPr>
          <w:rFonts w:ascii="Times New Roman" w:hAnsi="Times New Roman" w:cs="Times New Roman"/>
          <w:sz w:val="20"/>
          <w:szCs w:val="20"/>
        </w:rPr>
        <w:t>small</w:t>
      </w:r>
      <w:r w:rsidR="007A7706" w:rsidRPr="0078633D">
        <w:rPr>
          <w:rFonts w:ascii="Times New Roman" w:hAnsi="Times New Roman" w:cs="Times New Roman"/>
          <w:sz w:val="20"/>
          <w:szCs w:val="20"/>
        </w:rPr>
        <w:t xml:space="preserve">-cap index to </w:t>
      </w:r>
      <w:r w:rsidR="00B27F4B" w:rsidRPr="0078633D">
        <w:rPr>
          <w:rFonts w:ascii="Times New Roman" w:hAnsi="Times New Roman" w:cs="Times New Roman"/>
          <w:sz w:val="20"/>
          <w:szCs w:val="20"/>
        </w:rPr>
        <w:t xml:space="preserve">the large-cap index. </w:t>
      </w:r>
      <w:r w:rsidR="007A7706" w:rsidRPr="0078633D">
        <w:rPr>
          <w:rFonts w:ascii="Times New Roman" w:hAnsi="Times New Roman" w:cs="Times New Roman"/>
          <w:sz w:val="20"/>
          <w:szCs w:val="20"/>
        </w:rPr>
        <w:t>It is interesting to note that reverse trends are observed for the rest of the variables – ROE, P/B, and Δ</w:t>
      </w:r>
      <w:r w:rsidR="00224202" w:rsidRPr="0078633D">
        <w:rPr>
          <w:rFonts w:ascii="Times New Roman" w:hAnsi="Times New Roman" w:cs="Times New Roman"/>
          <w:sz w:val="20"/>
          <w:szCs w:val="20"/>
        </w:rPr>
        <w:t>P</w:t>
      </w:r>
      <w:r w:rsidR="007A7706" w:rsidRPr="0078633D">
        <w:rPr>
          <w:rFonts w:ascii="Times New Roman" w:hAnsi="Times New Roman" w:cs="Times New Roman"/>
          <w:sz w:val="20"/>
          <w:szCs w:val="20"/>
        </w:rPr>
        <w:t xml:space="preserve">B. That is, the data appears to indicate a </w:t>
      </w:r>
      <w:r w:rsidR="00B27F4B" w:rsidRPr="0078633D">
        <w:rPr>
          <w:rFonts w:ascii="Times New Roman" w:hAnsi="Times New Roman" w:cs="Times New Roman"/>
          <w:sz w:val="20"/>
          <w:szCs w:val="20"/>
        </w:rPr>
        <w:t xml:space="preserve">positive </w:t>
      </w:r>
      <w:r w:rsidR="00B27F4B" w:rsidRPr="0078633D">
        <w:rPr>
          <w:rFonts w:ascii="Times New Roman" w:hAnsi="Times New Roman" w:cs="Times New Roman"/>
          <w:sz w:val="20"/>
          <w:szCs w:val="20"/>
        </w:rPr>
        <w:lastRenderedPageBreak/>
        <w:t>association between firm size and values of these variables. Larger firms tend t</w:t>
      </w:r>
      <w:r w:rsidR="001B24CB" w:rsidRPr="0078633D">
        <w:rPr>
          <w:rFonts w:ascii="Times New Roman" w:hAnsi="Times New Roman" w:cs="Times New Roman"/>
          <w:sz w:val="20"/>
          <w:szCs w:val="20"/>
        </w:rPr>
        <w:t>o report higher ROE</w:t>
      </w:r>
      <w:r w:rsidR="00B27F4B" w:rsidRPr="0078633D">
        <w:rPr>
          <w:rFonts w:ascii="Times New Roman" w:hAnsi="Times New Roman" w:cs="Times New Roman"/>
          <w:sz w:val="20"/>
          <w:szCs w:val="20"/>
        </w:rPr>
        <w:t>, P/B and Δ</w:t>
      </w:r>
      <w:r w:rsidR="00224202" w:rsidRPr="0078633D">
        <w:rPr>
          <w:rFonts w:ascii="Times New Roman" w:hAnsi="Times New Roman" w:cs="Times New Roman"/>
          <w:sz w:val="20"/>
          <w:szCs w:val="20"/>
        </w:rPr>
        <w:t>P</w:t>
      </w:r>
      <w:r w:rsidR="00B27F4B" w:rsidRPr="0078633D">
        <w:rPr>
          <w:rFonts w:ascii="Times New Roman" w:hAnsi="Times New Roman" w:cs="Times New Roman"/>
          <w:sz w:val="20"/>
          <w:szCs w:val="20"/>
        </w:rPr>
        <w:t>B than smaller firms. Taken together with the first negative trend, it is a rou</w:t>
      </w:r>
      <w:r w:rsidR="00755196" w:rsidRPr="0078633D">
        <w:rPr>
          <w:rFonts w:ascii="Times New Roman" w:hAnsi="Times New Roman" w:cs="Times New Roman"/>
          <w:sz w:val="20"/>
          <w:szCs w:val="20"/>
        </w:rPr>
        <w:t>gh indictor of value investing. The data confirms the general belief that the overall risk level of stock returns monotonically decreases with firm s</w:t>
      </w:r>
      <w:r w:rsidR="000B4035" w:rsidRPr="0078633D">
        <w:rPr>
          <w:rFonts w:ascii="Times New Roman" w:hAnsi="Times New Roman" w:cs="Times New Roman"/>
          <w:sz w:val="20"/>
          <w:szCs w:val="20"/>
        </w:rPr>
        <w:t>ize. With respect to ROE</w:t>
      </w:r>
      <w:r w:rsidR="00755196" w:rsidRPr="0078633D">
        <w:rPr>
          <w:rFonts w:ascii="Times New Roman" w:hAnsi="Times New Roman" w:cs="Times New Roman"/>
          <w:sz w:val="20"/>
          <w:szCs w:val="20"/>
        </w:rPr>
        <w:t>, however, we observe a phenomenon contradictory to conventional wisdom that investors require higher return on equity</w:t>
      </w:r>
      <w:r w:rsidR="00835ACC" w:rsidRPr="0078633D">
        <w:rPr>
          <w:rFonts w:ascii="Times New Roman" w:hAnsi="Times New Roman" w:cs="Times New Roman"/>
          <w:sz w:val="20"/>
          <w:szCs w:val="20"/>
        </w:rPr>
        <w:t xml:space="preserve"> for riskier stocks. The mean</w:t>
      </w:r>
      <w:r w:rsidR="00755196" w:rsidRPr="0078633D">
        <w:rPr>
          <w:rFonts w:ascii="Times New Roman" w:hAnsi="Times New Roman" w:cs="Times New Roman"/>
          <w:sz w:val="20"/>
          <w:szCs w:val="20"/>
        </w:rPr>
        <w:t xml:space="preserve"> ROE of the DJIA index (18.42%) is relatively higher than that of the S&amp;P Small Cap Index (13.29%) but its standard deviation (10.94%) appears apparently lower than</w:t>
      </w:r>
      <w:r w:rsidR="001123B0" w:rsidRPr="0078633D">
        <w:rPr>
          <w:rFonts w:ascii="Times New Roman" w:hAnsi="Times New Roman" w:cs="Times New Roman"/>
          <w:sz w:val="20"/>
          <w:szCs w:val="20"/>
        </w:rPr>
        <w:t xml:space="preserve"> the S&amp;P Small Cap’s (18.60%). With very high third and fourth moments of the distribution, the result does not provide intuitive appeal. It is interesting to </w:t>
      </w:r>
      <w:r w:rsidR="00835ACC" w:rsidRPr="0078633D">
        <w:rPr>
          <w:rFonts w:ascii="Times New Roman" w:hAnsi="Times New Roman" w:cs="Times New Roman"/>
          <w:sz w:val="20"/>
          <w:szCs w:val="20"/>
        </w:rPr>
        <w:t>see the cross-section of mean</w:t>
      </w:r>
      <w:r w:rsidR="001123B0" w:rsidRPr="0078633D">
        <w:rPr>
          <w:rFonts w:ascii="Times New Roman" w:hAnsi="Times New Roman" w:cs="Times New Roman"/>
          <w:sz w:val="20"/>
          <w:szCs w:val="20"/>
        </w:rPr>
        <w:t xml:space="preserve"> Δ</w:t>
      </w:r>
      <w:r w:rsidR="00C44372" w:rsidRPr="0078633D">
        <w:rPr>
          <w:rFonts w:ascii="Times New Roman" w:hAnsi="Times New Roman" w:cs="Times New Roman"/>
          <w:sz w:val="20"/>
          <w:szCs w:val="20"/>
        </w:rPr>
        <w:t>P</w:t>
      </w:r>
      <w:r w:rsidR="001B24CB" w:rsidRPr="0078633D">
        <w:rPr>
          <w:rFonts w:ascii="Times New Roman" w:hAnsi="Times New Roman" w:cs="Times New Roman"/>
          <w:sz w:val="20"/>
          <w:szCs w:val="20"/>
        </w:rPr>
        <w:t>B</w:t>
      </w:r>
      <w:r w:rsidR="00C83D51" w:rsidRPr="0078633D">
        <w:rPr>
          <w:rFonts w:ascii="Times New Roman" w:hAnsi="Times New Roman" w:cs="Times New Roman"/>
          <w:sz w:val="20"/>
          <w:szCs w:val="20"/>
        </w:rPr>
        <w:t xml:space="preserve"> exhibit </w:t>
      </w:r>
      <w:r w:rsidR="00AA47C3" w:rsidRPr="0078633D">
        <w:rPr>
          <w:rFonts w:ascii="Times New Roman" w:hAnsi="Times New Roman" w:cs="Times New Roman"/>
          <w:sz w:val="20"/>
          <w:szCs w:val="20"/>
        </w:rPr>
        <w:t xml:space="preserve">a </w:t>
      </w:r>
      <w:r w:rsidR="00C83D51" w:rsidRPr="0078633D">
        <w:rPr>
          <w:rFonts w:ascii="Times New Roman" w:hAnsi="Times New Roman" w:cs="Times New Roman"/>
          <w:sz w:val="20"/>
          <w:szCs w:val="20"/>
        </w:rPr>
        <w:t>negative s</w:t>
      </w:r>
      <w:r w:rsidR="00AA47C3" w:rsidRPr="0078633D">
        <w:rPr>
          <w:rFonts w:ascii="Times New Roman" w:hAnsi="Times New Roman" w:cs="Times New Roman"/>
          <w:sz w:val="20"/>
          <w:szCs w:val="20"/>
        </w:rPr>
        <w:t xml:space="preserve">ign indicating that the </w:t>
      </w:r>
      <w:r w:rsidR="00C83D51" w:rsidRPr="0078633D">
        <w:rPr>
          <w:rFonts w:ascii="Times New Roman" w:hAnsi="Times New Roman" w:cs="Times New Roman"/>
          <w:sz w:val="20"/>
          <w:szCs w:val="20"/>
        </w:rPr>
        <w:t>P/B</w:t>
      </w:r>
      <w:r w:rsidR="00AA47C3" w:rsidRPr="0078633D">
        <w:rPr>
          <w:rFonts w:ascii="Times New Roman" w:hAnsi="Times New Roman" w:cs="Times New Roman"/>
          <w:sz w:val="20"/>
          <w:szCs w:val="20"/>
        </w:rPr>
        <w:t xml:space="preserve"> ratio</w:t>
      </w:r>
      <w:r w:rsidR="00C83D51" w:rsidRPr="0078633D">
        <w:rPr>
          <w:rFonts w:ascii="Times New Roman" w:hAnsi="Times New Roman" w:cs="Times New Roman"/>
          <w:sz w:val="20"/>
          <w:szCs w:val="20"/>
        </w:rPr>
        <w:t xml:space="preserve"> is more likely to fall in the subsequent period. </w:t>
      </w:r>
    </w:p>
    <w:p w:rsidR="00B64AE0" w:rsidRPr="0078633D" w:rsidRDefault="006B77AC" w:rsidP="00DD4BA3">
      <w:pPr>
        <w:spacing w:after="0" w:line="480" w:lineRule="auto"/>
        <w:jc w:val="center"/>
        <w:rPr>
          <w:rFonts w:ascii="Times New Roman" w:hAnsi="Times New Roman" w:cs="Times New Roman"/>
          <w:sz w:val="20"/>
          <w:szCs w:val="20"/>
        </w:rPr>
      </w:pPr>
      <w:r w:rsidRPr="0078633D">
        <w:rPr>
          <w:rFonts w:ascii="Times New Roman" w:hAnsi="Times New Roman" w:cs="Times New Roman"/>
          <w:sz w:val="20"/>
          <w:szCs w:val="20"/>
        </w:rPr>
        <w:t>&lt;Insert Table 1</w:t>
      </w:r>
      <w:r w:rsidR="00B64AE0" w:rsidRPr="0078633D">
        <w:rPr>
          <w:rFonts w:ascii="Times New Roman" w:hAnsi="Times New Roman" w:cs="Times New Roman"/>
          <w:sz w:val="20"/>
          <w:szCs w:val="20"/>
        </w:rPr>
        <w:t xml:space="preserve"> here&gt;</w:t>
      </w:r>
    </w:p>
    <w:p w:rsidR="00C44372" w:rsidRPr="0078633D" w:rsidRDefault="00C44372" w:rsidP="0078633D">
      <w:pPr>
        <w:pStyle w:val="a3"/>
        <w:numPr>
          <w:ilvl w:val="0"/>
          <w:numId w:val="15"/>
        </w:numPr>
        <w:spacing w:after="0" w:line="480" w:lineRule="auto"/>
        <w:jc w:val="both"/>
        <w:rPr>
          <w:rFonts w:ascii="Times New Roman" w:hAnsi="Times New Roman" w:cs="Times New Roman"/>
          <w:sz w:val="26"/>
          <w:szCs w:val="26"/>
        </w:rPr>
      </w:pPr>
      <w:r w:rsidRPr="0078633D">
        <w:rPr>
          <w:rFonts w:ascii="Times New Roman" w:hAnsi="Times New Roman" w:cs="Times New Roman"/>
          <w:sz w:val="26"/>
          <w:szCs w:val="26"/>
        </w:rPr>
        <w:t>Portfolio Application: A Primer</w:t>
      </w:r>
    </w:p>
    <w:p w:rsidR="00C44372" w:rsidRPr="0078633D" w:rsidRDefault="00AA47C3"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To exploit the investment opportunities possibly embedded in the value determinants, </w:t>
      </w:r>
      <w:r w:rsidR="00C44372" w:rsidRPr="0078633D">
        <w:rPr>
          <w:rFonts w:ascii="Times New Roman" w:hAnsi="Times New Roman" w:cs="Times New Roman"/>
          <w:sz w:val="20"/>
          <w:szCs w:val="20"/>
        </w:rPr>
        <w:t>I form quintile portfolios based on the four value determinants with respect to stock return for each of the four market</w:t>
      </w:r>
      <w:r w:rsidR="00835ACC" w:rsidRPr="0078633D">
        <w:rPr>
          <w:rFonts w:ascii="Times New Roman" w:hAnsi="Times New Roman" w:cs="Times New Roman"/>
          <w:sz w:val="20"/>
          <w:szCs w:val="20"/>
        </w:rPr>
        <w:t xml:space="preserve"> indexes and compute the mean</w:t>
      </w:r>
      <w:r w:rsidR="00C44372" w:rsidRPr="0078633D">
        <w:rPr>
          <w:rFonts w:ascii="Times New Roman" w:hAnsi="Times New Roman" w:cs="Times New Roman"/>
          <w:sz w:val="20"/>
          <w:szCs w:val="20"/>
        </w:rPr>
        <w:t>, standard deviation, and coefficient of variation (</w:t>
      </w:r>
      <w:r w:rsidR="00681F20" w:rsidRPr="0078633D">
        <w:rPr>
          <w:rFonts w:ascii="Times New Roman" w:hAnsi="Times New Roman" w:cs="Times New Roman"/>
          <w:sz w:val="20"/>
          <w:szCs w:val="20"/>
        </w:rPr>
        <w:t xml:space="preserve">CV) for each portfolio. </w:t>
      </w:r>
      <w:r w:rsidR="00B64AE0" w:rsidRPr="0078633D">
        <w:rPr>
          <w:rFonts w:ascii="Times New Roman" w:hAnsi="Times New Roman" w:cs="Times New Roman"/>
          <w:sz w:val="20"/>
          <w:szCs w:val="20"/>
        </w:rPr>
        <w:t>Table</w:t>
      </w:r>
      <w:r w:rsidRPr="0078633D">
        <w:rPr>
          <w:rFonts w:ascii="Times New Roman" w:hAnsi="Times New Roman" w:cs="Times New Roman"/>
          <w:sz w:val="20"/>
          <w:szCs w:val="20"/>
        </w:rPr>
        <w:t>s 2 and 3</w:t>
      </w:r>
      <w:r w:rsidR="004354F7" w:rsidRPr="0078633D">
        <w:rPr>
          <w:rFonts w:ascii="Times New Roman" w:hAnsi="Times New Roman" w:cs="Times New Roman"/>
          <w:sz w:val="20"/>
          <w:szCs w:val="20"/>
        </w:rPr>
        <w:t xml:space="preserve"> give the summary </w:t>
      </w:r>
      <w:r w:rsidR="00C44372" w:rsidRPr="0078633D">
        <w:rPr>
          <w:rFonts w:ascii="Times New Roman" w:hAnsi="Times New Roman" w:cs="Times New Roman"/>
          <w:sz w:val="20"/>
          <w:szCs w:val="20"/>
        </w:rPr>
        <w:t>statistics focusing on top and bottom portfolios to save space and induce clear comparison. The top portfolio represents the top 20% of the stock return distribution for a value determinant, while the bottom portfolio incl</w:t>
      </w:r>
      <w:r w:rsidR="001B24CB" w:rsidRPr="0078633D">
        <w:rPr>
          <w:rFonts w:ascii="Times New Roman" w:hAnsi="Times New Roman" w:cs="Times New Roman"/>
          <w:sz w:val="20"/>
          <w:szCs w:val="20"/>
        </w:rPr>
        <w:t xml:space="preserve">udes the lowest 20% of the </w:t>
      </w:r>
      <w:r w:rsidR="00C44372" w:rsidRPr="0078633D">
        <w:rPr>
          <w:rFonts w:ascii="Times New Roman" w:hAnsi="Times New Roman" w:cs="Times New Roman"/>
          <w:sz w:val="20"/>
          <w:szCs w:val="20"/>
        </w:rPr>
        <w:t xml:space="preserve">distribution. </w:t>
      </w:r>
      <w:r w:rsidR="003F6B30" w:rsidRPr="0078633D">
        <w:rPr>
          <w:rFonts w:ascii="Times New Roman" w:hAnsi="Times New Roman" w:cs="Times New Roman"/>
          <w:sz w:val="20"/>
          <w:szCs w:val="20"/>
        </w:rPr>
        <w:t xml:space="preserve">Recall that I annually rebalance portfolios. </w:t>
      </w:r>
      <w:r w:rsidR="00C44372" w:rsidRPr="0078633D">
        <w:rPr>
          <w:rFonts w:ascii="Times New Roman" w:hAnsi="Times New Roman" w:cs="Times New Roman"/>
          <w:sz w:val="20"/>
          <w:szCs w:val="20"/>
        </w:rPr>
        <w:t>All the variables in the contemporaneous portfolios are simultaneousl</w:t>
      </w:r>
      <w:r w:rsidR="004354F7" w:rsidRPr="0078633D">
        <w:rPr>
          <w:rFonts w:ascii="Times New Roman" w:hAnsi="Times New Roman" w:cs="Times New Roman"/>
          <w:sz w:val="20"/>
          <w:szCs w:val="20"/>
        </w:rPr>
        <w:t>y measured</w:t>
      </w:r>
      <w:r w:rsidR="00C44372" w:rsidRPr="0078633D">
        <w:rPr>
          <w:rFonts w:ascii="Times New Roman" w:hAnsi="Times New Roman" w:cs="Times New Roman"/>
          <w:sz w:val="20"/>
          <w:szCs w:val="20"/>
        </w:rPr>
        <w:t xml:space="preserve">. For the proxy portfolios, on the other hand, the stock return and the classification variables (value determinants) are one year apart with </w:t>
      </w:r>
      <w:r w:rsidR="001B24CB" w:rsidRPr="0078633D">
        <w:rPr>
          <w:rFonts w:ascii="Times New Roman" w:hAnsi="Times New Roman" w:cs="Times New Roman"/>
          <w:sz w:val="20"/>
          <w:szCs w:val="20"/>
        </w:rPr>
        <w:t>the former</w:t>
      </w:r>
      <w:r w:rsidR="00C44372" w:rsidRPr="0078633D">
        <w:rPr>
          <w:rFonts w:ascii="Times New Roman" w:hAnsi="Times New Roman" w:cs="Times New Roman"/>
          <w:sz w:val="20"/>
          <w:szCs w:val="20"/>
        </w:rPr>
        <w:t xml:space="preserve"> being followed by the </w:t>
      </w:r>
      <w:r w:rsidR="001B24CB" w:rsidRPr="0078633D">
        <w:rPr>
          <w:rFonts w:ascii="Times New Roman" w:hAnsi="Times New Roman" w:cs="Times New Roman"/>
          <w:sz w:val="20"/>
          <w:szCs w:val="20"/>
        </w:rPr>
        <w:t>latter</w:t>
      </w:r>
      <w:r w:rsidR="00C44372" w:rsidRPr="0078633D">
        <w:rPr>
          <w:rFonts w:ascii="Times New Roman" w:hAnsi="Times New Roman" w:cs="Times New Roman"/>
          <w:sz w:val="20"/>
          <w:szCs w:val="20"/>
        </w:rPr>
        <w:t xml:space="preserve"> and the underlying assumption is naïve forecasting. </w:t>
      </w:r>
    </w:p>
    <w:p w:rsidR="00B64AE0" w:rsidRPr="0078633D" w:rsidRDefault="00B64AE0" w:rsidP="00612DE5">
      <w:pPr>
        <w:spacing w:after="0" w:line="480" w:lineRule="auto"/>
        <w:ind w:firstLine="426"/>
        <w:jc w:val="center"/>
        <w:rPr>
          <w:rFonts w:ascii="Times New Roman" w:hAnsi="Times New Roman" w:cs="Times New Roman"/>
          <w:sz w:val="20"/>
          <w:szCs w:val="20"/>
        </w:rPr>
      </w:pPr>
      <w:r w:rsidRPr="0078633D">
        <w:rPr>
          <w:rFonts w:ascii="Times New Roman" w:hAnsi="Times New Roman" w:cs="Times New Roman"/>
          <w:sz w:val="20"/>
          <w:szCs w:val="20"/>
        </w:rPr>
        <w:t>&lt;I</w:t>
      </w:r>
      <w:r w:rsidR="006B77AC" w:rsidRPr="0078633D">
        <w:rPr>
          <w:rFonts w:ascii="Times New Roman" w:hAnsi="Times New Roman" w:cs="Times New Roman"/>
          <w:sz w:val="20"/>
          <w:szCs w:val="20"/>
        </w:rPr>
        <w:t>nsert Table 2</w:t>
      </w:r>
      <w:r w:rsidRPr="0078633D">
        <w:rPr>
          <w:rFonts w:ascii="Times New Roman" w:hAnsi="Times New Roman" w:cs="Times New Roman"/>
          <w:sz w:val="20"/>
          <w:szCs w:val="20"/>
        </w:rPr>
        <w:t xml:space="preserve"> here&gt;</w:t>
      </w:r>
    </w:p>
    <w:p w:rsidR="00FF5B9F" w:rsidRPr="0078633D" w:rsidRDefault="00C44372"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The message </w:t>
      </w:r>
      <w:r w:rsidR="00681F20" w:rsidRPr="0078633D">
        <w:rPr>
          <w:rFonts w:ascii="Times New Roman" w:hAnsi="Times New Roman" w:cs="Times New Roman"/>
          <w:sz w:val="20"/>
          <w:szCs w:val="20"/>
        </w:rPr>
        <w:t xml:space="preserve">of </w:t>
      </w:r>
      <w:r w:rsidR="00B64AE0"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2</w:t>
      </w:r>
      <w:r w:rsidRPr="0078633D">
        <w:rPr>
          <w:rFonts w:ascii="Times New Roman" w:hAnsi="Times New Roman" w:cs="Times New Roman"/>
          <w:sz w:val="20"/>
          <w:szCs w:val="20"/>
        </w:rPr>
        <w:t xml:space="preserve"> </w:t>
      </w:r>
      <w:r w:rsidR="00681F20" w:rsidRPr="0078633D">
        <w:rPr>
          <w:rFonts w:ascii="Times New Roman" w:hAnsi="Times New Roman" w:cs="Times New Roman"/>
          <w:sz w:val="20"/>
          <w:szCs w:val="20"/>
        </w:rPr>
        <w:t xml:space="preserve">is </w:t>
      </w:r>
      <w:r w:rsidR="00AA47C3" w:rsidRPr="0078633D">
        <w:rPr>
          <w:rFonts w:ascii="Times New Roman" w:hAnsi="Times New Roman" w:cs="Times New Roman"/>
          <w:sz w:val="20"/>
          <w:szCs w:val="20"/>
        </w:rPr>
        <w:t>clear</w:t>
      </w:r>
      <w:r w:rsidR="00835ACC" w:rsidRPr="0078633D">
        <w:rPr>
          <w:rFonts w:ascii="Times New Roman" w:hAnsi="Times New Roman" w:cs="Times New Roman"/>
          <w:sz w:val="20"/>
          <w:szCs w:val="20"/>
        </w:rPr>
        <w:t>. The mean</w:t>
      </w:r>
      <w:r w:rsidRPr="0078633D">
        <w:rPr>
          <w:rFonts w:ascii="Times New Roman" w:hAnsi="Times New Roman" w:cs="Times New Roman"/>
          <w:sz w:val="20"/>
          <w:szCs w:val="20"/>
        </w:rPr>
        <w:t xml:space="preserve"> returns</w:t>
      </w:r>
      <w:r w:rsidR="00AC16BE" w:rsidRPr="0078633D">
        <w:rPr>
          <w:rFonts w:ascii="Times New Roman" w:hAnsi="Times New Roman" w:cs="Times New Roman"/>
          <w:sz w:val="20"/>
          <w:szCs w:val="20"/>
        </w:rPr>
        <w:t xml:space="preserve"> of the top portfolios </w:t>
      </w:r>
      <w:r w:rsidR="00835ACC" w:rsidRPr="0078633D">
        <w:rPr>
          <w:rFonts w:ascii="Times New Roman" w:hAnsi="Times New Roman" w:cs="Times New Roman"/>
          <w:sz w:val="20"/>
          <w:szCs w:val="20"/>
        </w:rPr>
        <w:t>lead the mean</w:t>
      </w:r>
      <w:r w:rsidRPr="0078633D">
        <w:rPr>
          <w:rFonts w:ascii="Times New Roman" w:hAnsi="Times New Roman" w:cs="Times New Roman"/>
          <w:sz w:val="20"/>
          <w:szCs w:val="20"/>
        </w:rPr>
        <w:t>s of the bottom portfolios by large margins</w:t>
      </w:r>
      <w:r w:rsidR="00681F20" w:rsidRPr="0078633D">
        <w:rPr>
          <w:rFonts w:ascii="Times New Roman" w:hAnsi="Times New Roman" w:cs="Times New Roman"/>
          <w:sz w:val="20"/>
          <w:szCs w:val="20"/>
        </w:rPr>
        <w:t xml:space="preserve"> with regard</w:t>
      </w:r>
      <w:r w:rsidRPr="0078633D">
        <w:rPr>
          <w:rFonts w:ascii="Times New Roman" w:hAnsi="Times New Roman" w:cs="Times New Roman"/>
          <w:sz w:val="20"/>
          <w:szCs w:val="20"/>
        </w:rPr>
        <w:t xml:space="preserve"> to each of the four value determinants. </w:t>
      </w:r>
      <w:r w:rsidR="00781B36" w:rsidRPr="0078633D">
        <w:rPr>
          <w:rFonts w:ascii="Times New Roman" w:hAnsi="Times New Roman" w:cs="Times New Roman"/>
          <w:sz w:val="20"/>
          <w:szCs w:val="20"/>
        </w:rPr>
        <w:t>Bonferroni t test, Scheffé’s multiple-comparison, and Tukey’s studentized range test all indicate that t</w:t>
      </w:r>
      <w:r w:rsidR="00570D01" w:rsidRPr="0078633D">
        <w:rPr>
          <w:rFonts w:ascii="Times New Roman" w:hAnsi="Times New Roman" w:cs="Times New Roman"/>
          <w:sz w:val="20"/>
          <w:szCs w:val="20"/>
        </w:rPr>
        <w:t>he mean differences between the two portfolios are st</w:t>
      </w:r>
      <w:r w:rsidR="00AD7B9C" w:rsidRPr="0078633D">
        <w:rPr>
          <w:rFonts w:ascii="Times New Roman" w:hAnsi="Times New Roman" w:cs="Times New Roman"/>
          <w:sz w:val="20"/>
          <w:szCs w:val="20"/>
        </w:rPr>
        <w:t>atistically significant at the one</w:t>
      </w:r>
      <w:r w:rsidR="00570D01" w:rsidRPr="0078633D">
        <w:rPr>
          <w:rFonts w:ascii="Times New Roman" w:hAnsi="Times New Roman" w:cs="Times New Roman"/>
          <w:sz w:val="20"/>
          <w:szCs w:val="20"/>
        </w:rPr>
        <w:t xml:space="preserve"> percent level exclusive of the ROE and P/B cases for the DJIA.</w:t>
      </w:r>
      <w:r w:rsidR="00FF5B9F" w:rsidRPr="0078633D">
        <w:rPr>
          <w:rFonts w:ascii="Times New Roman" w:hAnsi="Times New Roman" w:cs="Times New Roman"/>
          <w:sz w:val="20"/>
          <w:szCs w:val="20"/>
        </w:rPr>
        <w:t xml:space="preserve"> For the classification scheme of </w:t>
      </w:r>
      <w:r w:rsidR="004354F7" w:rsidRPr="0078633D">
        <w:rPr>
          <w:rFonts w:ascii="Times New Roman" w:hAnsi="Times New Roman" w:cs="Times New Roman"/>
          <w:sz w:val="20"/>
          <w:szCs w:val="20"/>
        </w:rPr>
        <w:t>GiE</w:t>
      </w:r>
      <w:r w:rsidR="00FF5B9F" w:rsidRPr="0078633D">
        <w:rPr>
          <w:rFonts w:ascii="Times New Roman" w:hAnsi="Times New Roman" w:cs="Times New Roman"/>
          <w:sz w:val="20"/>
          <w:szCs w:val="20"/>
        </w:rPr>
        <w:t xml:space="preserve">, the mean returns of the top portfolios are 26.69%, 36.02%, 48.17%, and 37.82% in the order of DJIA, S&amp;P Mid Cap and Small Cap, and S&amp;P 1500 as their counterparties report all negative annual returns, -16.42%, -10.14%, -12.48%, and -12.63%. The similar surprising result is also found for </w:t>
      </w:r>
      <w:r w:rsidR="009C7900" w:rsidRPr="0078633D">
        <w:rPr>
          <w:rFonts w:ascii="Times New Roman" w:hAnsi="Times New Roman" w:cs="Times New Roman"/>
          <w:sz w:val="20"/>
          <w:szCs w:val="20"/>
        </w:rPr>
        <w:t xml:space="preserve">the </w:t>
      </w:r>
      <w:r w:rsidR="00FF5B9F" w:rsidRPr="0078633D">
        <w:rPr>
          <w:rFonts w:ascii="Times New Roman" w:hAnsi="Times New Roman" w:cs="Times New Roman"/>
          <w:sz w:val="20"/>
          <w:szCs w:val="20"/>
        </w:rPr>
        <w:t xml:space="preserve">P/B classification. In </w:t>
      </w:r>
      <w:r w:rsidR="00FF5B9F" w:rsidRPr="0078633D">
        <w:rPr>
          <w:rFonts w:ascii="Times New Roman" w:hAnsi="Times New Roman" w:cs="Times New Roman"/>
          <w:sz w:val="20"/>
          <w:szCs w:val="20"/>
        </w:rPr>
        <w:lastRenderedPageBreak/>
        <w:t xml:space="preserve">case of the </w:t>
      </w:r>
      <w:r w:rsidR="00AA47C3" w:rsidRPr="0078633D">
        <w:rPr>
          <w:rFonts w:ascii="Times New Roman" w:hAnsi="Times New Roman" w:cs="Times New Roman"/>
          <w:sz w:val="20"/>
          <w:szCs w:val="20"/>
        </w:rPr>
        <w:t>DJIA</w:t>
      </w:r>
      <w:r w:rsidR="00FF5B9F" w:rsidRPr="0078633D">
        <w:rPr>
          <w:rFonts w:ascii="Times New Roman" w:hAnsi="Times New Roman" w:cs="Times New Roman"/>
          <w:sz w:val="20"/>
          <w:szCs w:val="20"/>
        </w:rPr>
        <w:t xml:space="preserve">, </w:t>
      </w:r>
      <w:r w:rsidR="00B64AE0"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2</w:t>
      </w:r>
      <w:r w:rsidR="00FF5B9F" w:rsidRPr="0078633D">
        <w:rPr>
          <w:rFonts w:ascii="Times New Roman" w:hAnsi="Times New Roman" w:cs="Times New Roman"/>
          <w:sz w:val="20"/>
          <w:szCs w:val="20"/>
        </w:rPr>
        <w:t xml:space="preserve"> shows the mean return of 11.91% for the top portfolio against the mean return of -17.26% for the bottom portfolio. The </w:t>
      </w:r>
      <w:r w:rsidR="00AA47C3" w:rsidRPr="0078633D">
        <w:rPr>
          <w:rFonts w:ascii="Times New Roman" w:hAnsi="Times New Roman" w:cs="Times New Roman"/>
          <w:sz w:val="20"/>
          <w:szCs w:val="20"/>
        </w:rPr>
        <w:t xml:space="preserve">other </w:t>
      </w:r>
      <w:r w:rsidR="00FF5B9F" w:rsidRPr="0078633D">
        <w:rPr>
          <w:rFonts w:ascii="Times New Roman" w:hAnsi="Times New Roman" w:cs="Times New Roman"/>
          <w:sz w:val="20"/>
          <w:szCs w:val="20"/>
        </w:rPr>
        <w:t xml:space="preserve">three </w:t>
      </w:r>
      <w:r w:rsidR="00AA47C3" w:rsidRPr="0078633D">
        <w:rPr>
          <w:rFonts w:ascii="Times New Roman" w:hAnsi="Times New Roman" w:cs="Times New Roman"/>
          <w:sz w:val="20"/>
          <w:szCs w:val="20"/>
        </w:rPr>
        <w:t xml:space="preserve">indexes show </w:t>
      </w:r>
      <w:r w:rsidR="00FF5B9F" w:rsidRPr="0078633D">
        <w:rPr>
          <w:rFonts w:ascii="Times New Roman" w:hAnsi="Times New Roman" w:cs="Times New Roman"/>
          <w:sz w:val="20"/>
          <w:szCs w:val="20"/>
        </w:rPr>
        <w:t xml:space="preserve">like distinct contrasts. The </w:t>
      </w:r>
      <w:r w:rsidR="00AA47C3" w:rsidRPr="0078633D">
        <w:rPr>
          <w:rFonts w:ascii="Times New Roman" w:hAnsi="Times New Roman" w:cs="Times New Roman"/>
          <w:sz w:val="20"/>
          <w:szCs w:val="20"/>
        </w:rPr>
        <w:t xml:space="preserve">high P/B </w:t>
      </w:r>
      <w:r w:rsidR="00FF5B9F" w:rsidRPr="0078633D">
        <w:rPr>
          <w:rFonts w:ascii="Times New Roman" w:hAnsi="Times New Roman" w:cs="Times New Roman"/>
          <w:sz w:val="20"/>
          <w:szCs w:val="20"/>
        </w:rPr>
        <w:t>portfolio</w:t>
      </w:r>
      <w:r w:rsidR="00AA47C3" w:rsidRPr="0078633D">
        <w:rPr>
          <w:rFonts w:ascii="Times New Roman" w:hAnsi="Times New Roman" w:cs="Times New Roman"/>
          <w:sz w:val="20"/>
          <w:szCs w:val="20"/>
        </w:rPr>
        <w:t xml:space="preserve"> </w:t>
      </w:r>
      <w:r w:rsidR="00FF5B9F" w:rsidRPr="0078633D">
        <w:rPr>
          <w:rFonts w:ascii="Times New Roman" w:hAnsi="Times New Roman" w:cs="Times New Roman"/>
          <w:sz w:val="20"/>
          <w:szCs w:val="20"/>
        </w:rPr>
        <w:t>significantly surpasses the</w:t>
      </w:r>
      <w:r w:rsidR="00AA47C3" w:rsidRPr="0078633D">
        <w:rPr>
          <w:rFonts w:ascii="Times New Roman" w:hAnsi="Times New Roman" w:cs="Times New Roman"/>
          <w:sz w:val="20"/>
          <w:szCs w:val="20"/>
        </w:rPr>
        <w:t xml:space="preserve"> low P/B</w:t>
      </w:r>
      <w:r w:rsidR="00FF5B9F" w:rsidRPr="0078633D">
        <w:rPr>
          <w:rFonts w:ascii="Times New Roman" w:hAnsi="Times New Roman" w:cs="Times New Roman"/>
          <w:sz w:val="20"/>
          <w:szCs w:val="20"/>
        </w:rPr>
        <w:t xml:space="preserve"> portfolio in terms of mean return across the rest of market indexes, 25.24% vs. 0.97% for the S&amp;P Mid Cap, 35.26% vs. -1.7% for the S&amp;P Small Cap, and 22.23% vs. 1.43% for the S&amp;P </w:t>
      </w:r>
      <w:r w:rsidR="00AA47C3" w:rsidRPr="0078633D">
        <w:rPr>
          <w:rFonts w:ascii="Times New Roman" w:hAnsi="Times New Roman" w:cs="Times New Roman"/>
          <w:sz w:val="20"/>
          <w:szCs w:val="20"/>
        </w:rPr>
        <w:t>1500</w:t>
      </w:r>
      <w:r w:rsidR="00FF5B9F" w:rsidRPr="0078633D">
        <w:rPr>
          <w:rFonts w:ascii="Times New Roman" w:hAnsi="Times New Roman" w:cs="Times New Roman"/>
          <w:sz w:val="20"/>
          <w:szCs w:val="20"/>
        </w:rPr>
        <w:t xml:space="preserve">. The more astonishing contrast is yet to come. The mean differences between the top and bottom portfolios peak with the ΔPB classification. The maximum mean difference between the two portfolios among </w:t>
      </w:r>
      <w:r w:rsidR="004354F7" w:rsidRPr="0078633D">
        <w:rPr>
          <w:rFonts w:ascii="Times New Roman" w:hAnsi="Times New Roman" w:cs="Times New Roman"/>
          <w:sz w:val="20"/>
          <w:szCs w:val="20"/>
        </w:rPr>
        <w:t>the GiE</w:t>
      </w:r>
      <w:r w:rsidR="00FF5B9F" w:rsidRPr="0078633D">
        <w:rPr>
          <w:rFonts w:ascii="Times New Roman" w:hAnsi="Times New Roman" w:cs="Times New Roman"/>
          <w:sz w:val="20"/>
          <w:szCs w:val="20"/>
        </w:rPr>
        <w:t xml:space="preserve">, ROE, and P/B classifications occurs with the S&amp;P Small Cap and </w:t>
      </w:r>
      <w:r w:rsidR="004354F7" w:rsidRPr="0078633D">
        <w:rPr>
          <w:rFonts w:ascii="Times New Roman" w:hAnsi="Times New Roman" w:cs="Times New Roman"/>
          <w:sz w:val="20"/>
          <w:szCs w:val="20"/>
        </w:rPr>
        <w:t>the GiE</w:t>
      </w:r>
      <w:r w:rsidR="00FF5B9F" w:rsidRPr="0078633D">
        <w:rPr>
          <w:rFonts w:ascii="Times New Roman" w:hAnsi="Times New Roman" w:cs="Times New Roman"/>
          <w:sz w:val="20"/>
          <w:szCs w:val="20"/>
        </w:rPr>
        <w:t xml:space="preserve"> classification at 60.65% (=48.17% minus -12.48%). For the same market index, the mean difference for ΔPB becomes 91.72%, which equals 68.3% minus -23.42%. This dwarfs the maximum difference of 60.65% for the </w:t>
      </w:r>
      <w:r w:rsidR="004354F7" w:rsidRPr="0078633D">
        <w:rPr>
          <w:rFonts w:ascii="Times New Roman" w:hAnsi="Times New Roman" w:cs="Times New Roman"/>
          <w:sz w:val="20"/>
          <w:szCs w:val="20"/>
        </w:rPr>
        <w:t>GiE</w:t>
      </w:r>
      <w:r w:rsidR="00FF5B9F" w:rsidRPr="0078633D">
        <w:rPr>
          <w:rFonts w:ascii="Times New Roman" w:hAnsi="Times New Roman" w:cs="Times New Roman"/>
          <w:sz w:val="20"/>
          <w:szCs w:val="20"/>
        </w:rPr>
        <w:t xml:space="preserve"> classification. The mean differences for the DJIA and S&amp;P</w:t>
      </w:r>
      <w:r w:rsidR="00C039F0" w:rsidRPr="0078633D">
        <w:rPr>
          <w:rFonts w:ascii="Times New Roman" w:hAnsi="Times New Roman" w:cs="Times New Roman"/>
          <w:sz w:val="20"/>
          <w:szCs w:val="20"/>
        </w:rPr>
        <w:t xml:space="preserve"> Mid Cap are also noticeably large</w:t>
      </w:r>
      <w:r w:rsidR="00FF5B9F" w:rsidRPr="0078633D">
        <w:rPr>
          <w:rFonts w:ascii="Times New Roman" w:hAnsi="Times New Roman" w:cs="Times New Roman"/>
          <w:sz w:val="20"/>
          <w:szCs w:val="20"/>
        </w:rPr>
        <w:t xml:space="preserve">, 51.08% and 71.66% respectively. </w:t>
      </w:r>
    </w:p>
    <w:p w:rsidR="00FF5B9F" w:rsidRPr="0078633D" w:rsidRDefault="00FF5B9F"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These seemingly large differences between the two distinct portfolios are explained by a general concept of risk. The coefficients of variation (CVs), a risk-adjusted measure of the mean stock return, for different classification criteria and market indexes retain the same characteristic as the raw means. Notice that I assign zero in parenthesis to negative CVs, since they are hard to interpret. Although this arbitrary assignment of zero to negative CVs might understate the individual CV differences, it does not alter any of main interpretations about the mean differences. With reference to the S&amp;P 1500, the ΔPB classification still dominates the other classification criteria in terms of investment opportunities with the CV difference of 0.7792 versus 0.5902</w:t>
      </w:r>
      <w:r w:rsidR="00AA47C3" w:rsidRPr="0078633D">
        <w:rPr>
          <w:rFonts w:ascii="Times New Roman" w:hAnsi="Times New Roman" w:cs="Times New Roman"/>
          <w:sz w:val="20"/>
          <w:szCs w:val="20"/>
        </w:rPr>
        <w:t xml:space="preserve"> for GiE</w:t>
      </w:r>
      <w:r w:rsidRPr="0078633D">
        <w:rPr>
          <w:rFonts w:ascii="Times New Roman" w:hAnsi="Times New Roman" w:cs="Times New Roman"/>
          <w:sz w:val="20"/>
          <w:szCs w:val="20"/>
        </w:rPr>
        <w:t xml:space="preserve">, </w:t>
      </w:r>
      <w:r w:rsidR="006469A8" w:rsidRPr="0078633D">
        <w:rPr>
          <w:rFonts w:ascii="Times New Roman" w:hAnsi="Times New Roman" w:cs="Times New Roman"/>
          <w:sz w:val="20"/>
          <w:szCs w:val="20"/>
        </w:rPr>
        <w:t>0.1835 (=0.3122 minus 0.1287) for ROE, and 0.3277 (=0.3658 minus 0.0381) for the P/B ratio.</w:t>
      </w:r>
      <w:r w:rsidRPr="0078633D">
        <w:rPr>
          <w:rFonts w:ascii="Times New Roman" w:hAnsi="Times New Roman" w:cs="Times New Roman"/>
          <w:sz w:val="20"/>
          <w:szCs w:val="20"/>
        </w:rPr>
        <w:t xml:space="preserve"> </w:t>
      </w:r>
      <w:r w:rsidR="006469A8" w:rsidRPr="0078633D">
        <w:rPr>
          <w:rFonts w:ascii="Times New Roman" w:hAnsi="Times New Roman" w:cs="Times New Roman"/>
          <w:sz w:val="20"/>
          <w:szCs w:val="20"/>
        </w:rPr>
        <w:t xml:space="preserve">Amongst the other three market indexes, the minimum CV difference for the ΔPB classification of 0.7792 for the S&amp;P 1500 is larger than the maximum CV difference for the GiE classification of 0.6991 for the DJIA within non- ΔPB classifications.  </w:t>
      </w:r>
    </w:p>
    <w:p w:rsidR="00FF5B9F" w:rsidRPr="0078633D" w:rsidRDefault="00924020"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What is the investment implication of the above discussions? Suppose that we would like to invest in the S&amp;P 1500 index. The return maximizing investment should be to buy the firms with high ΔPB values and short-sell the firms with low ΔPB and expects to earn the mean return of 71.27% (=52.23% plus 19.04%). If one wants to augment the return by taking an additional risk, she or he can simply combine a long position in the top ΔPB portfolio and a short position in the bottom ΔPB portfolio for the S&amp;P Small Cap Index and realize an exciting annual return of 91.72% (=68.30% plus 23.42%). The ΔPB appears to be a profit-making investment yardstick if investors can make pretty accurate forecasts of the ΔPB. Although other classification criteria provide quite sizable return opportunities, the magnitudes of the returns are relatively small compared to those for the ΔPB. </w:t>
      </w:r>
      <w:r w:rsidR="00FF5B9F" w:rsidRPr="0078633D">
        <w:rPr>
          <w:rFonts w:ascii="Times New Roman" w:hAnsi="Times New Roman" w:cs="Times New Roman"/>
          <w:sz w:val="20"/>
          <w:szCs w:val="20"/>
        </w:rPr>
        <w:t xml:space="preserve"> </w:t>
      </w:r>
    </w:p>
    <w:p w:rsidR="00FF5B9F" w:rsidRPr="0078633D" w:rsidRDefault="00FF5B9F"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lastRenderedPageBreak/>
        <w:t xml:space="preserve">The next question is whether we can in reality benefit from the results in </w:t>
      </w:r>
      <w:r w:rsidR="00B64AE0"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2</w:t>
      </w:r>
      <w:r w:rsidRPr="0078633D">
        <w:rPr>
          <w:rFonts w:ascii="Times New Roman" w:hAnsi="Times New Roman" w:cs="Times New Roman"/>
          <w:sz w:val="20"/>
          <w:szCs w:val="20"/>
        </w:rPr>
        <w:t xml:space="preserve">. Assuming that the expected values of </w:t>
      </w:r>
      <w:r w:rsidR="00E27679" w:rsidRPr="0078633D">
        <w:rPr>
          <w:rFonts w:ascii="Times New Roman" w:hAnsi="Times New Roman" w:cs="Times New Roman"/>
          <w:sz w:val="20"/>
          <w:szCs w:val="20"/>
        </w:rPr>
        <w:t>GiE</w:t>
      </w:r>
      <w:r w:rsidRPr="0078633D">
        <w:rPr>
          <w:rFonts w:ascii="Times New Roman" w:hAnsi="Times New Roman" w:cs="Times New Roman"/>
          <w:sz w:val="20"/>
          <w:szCs w:val="20"/>
        </w:rPr>
        <w:t xml:space="preserve">, ROE, P/B and ΔPB are equivalent to their current values available (i.e., the random walk hypothesis), I reconstruct the mean portfolio returns and their CVs in </w:t>
      </w:r>
      <w:r w:rsidR="00B64AE0"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3</w:t>
      </w:r>
      <w:r w:rsidRPr="0078633D">
        <w:rPr>
          <w:rFonts w:ascii="Times New Roman" w:hAnsi="Times New Roman" w:cs="Times New Roman"/>
          <w:sz w:val="20"/>
          <w:szCs w:val="20"/>
        </w:rPr>
        <w:t xml:space="preserve">. The new table exposes the contrarian trends. The S&amp;P 1500 indicates that firms with high earnings growth, ROE, P/B, and ΔPB now earn less than firms with low values of the same variables. The opposite relation is reported in </w:t>
      </w:r>
      <w:r w:rsidR="00B64AE0"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2</w:t>
      </w:r>
      <w:r w:rsidRPr="0078633D">
        <w:rPr>
          <w:rFonts w:ascii="Times New Roman" w:hAnsi="Times New Roman" w:cs="Times New Roman"/>
          <w:sz w:val="20"/>
          <w:szCs w:val="20"/>
        </w:rPr>
        <w:t xml:space="preserve">. The results for the submarket indexes confirm this contrarian phenomenon with an exception of the DJIA. For super-size firms (i.e., firms in the DJIA), firms with high P/B and ΔPB values still make higher returns than the counterpart with low such values. With few exceptions, the CVs verify the patterns in portfolio returns. </w:t>
      </w:r>
      <w:r w:rsidR="00781B36" w:rsidRPr="0078633D">
        <w:rPr>
          <w:rFonts w:ascii="Times New Roman" w:hAnsi="Times New Roman" w:cs="Times New Roman"/>
          <w:sz w:val="20"/>
          <w:szCs w:val="20"/>
        </w:rPr>
        <w:t>In case of P/B, the CV for the top portfolio is 1.4033 and that for the bottom is 2.0137. This increasing pattern does not conform to the decreasing pattern in portfolio returns, 25.56% for the top and 11.72% for the bottom.</w:t>
      </w:r>
    </w:p>
    <w:p w:rsidR="00B64AE0" w:rsidRPr="0078633D" w:rsidRDefault="006B77AC" w:rsidP="00612DE5">
      <w:pPr>
        <w:spacing w:after="0" w:line="480" w:lineRule="auto"/>
        <w:ind w:firstLine="426"/>
        <w:jc w:val="center"/>
        <w:rPr>
          <w:rFonts w:ascii="Times New Roman" w:hAnsi="Times New Roman" w:cs="Times New Roman"/>
          <w:sz w:val="20"/>
          <w:szCs w:val="20"/>
        </w:rPr>
      </w:pPr>
      <w:r w:rsidRPr="0078633D">
        <w:rPr>
          <w:rFonts w:ascii="Times New Roman" w:hAnsi="Times New Roman" w:cs="Times New Roman"/>
          <w:sz w:val="20"/>
          <w:szCs w:val="20"/>
        </w:rPr>
        <w:t>&lt;Insert Table 3</w:t>
      </w:r>
      <w:r w:rsidR="00B64AE0" w:rsidRPr="0078633D">
        <w:rPr>
          <w:rFonts w:ascii="Times New Roman" w:hAnsi="Times New Roman" w:cs="Times New Roman"/>
          <w:sz w:val="20"/>
          <w:szCs w:val="20"/>
        </w:rPr>
        <w:t xml:space="preserve"> here&gt;</w:t>
      </w:r>
    </w:p>
    <w:p w:rsidR="00FF5B9F" w:rsidRPr="0078633D" w:rsidRDefault="00FF5B9F"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A major change in the proxy portfolio analysis relative to the contemporaneous analysis is the deteriorated impact of ΔPB on stock returns. The case of the S&amp;P 1500 suggests that investments based on </w:t>
      </w:r>
      <w:r w:rsidR="00E27679" w:rsidRPr="0078633D">
        <w:rPr>
          <w:rFonts w:ascii="Times New Roman" w:hAnsi="Times New Roman" w:cs="Times New Roman"/>
          <w:sz w:val="20"/>
          <w:szCs w:val="20"/>
        </w:rPr>
        <w:t>GiE</w:t>
      </w:r>
      <w:r w:rsidRPr="0078633D">
        <w:rPr>
          <w:rFonts w:ascii="Times New Roman" w:hAnsi="Times New Roman" w:cs="Times New Roman"/>
          <w:sz w:val="20"/>
          <w:szCs w:val="20"/>
        </w:rPr>
        <w:t xml:space="preserve">, ROE, or P/B are more profitable than investments based on ΔPB. Especially, the P/B-based contrarian strategy tends to outperform other strategies. A long position in the bottom P/B portfolio pays a mean return of 25.90% when the bottom portfolios based on earnings growth, ROE, and ΔPB give mean returns of 18.21%, 19.35%, and 16.93% respectively. This is an almost opposite outcome to the contemporaneous portfolio return analysis. It is interpreted that in reality, the P/B criterion seems to work best generating the highest return and CV for the bottom portfolio, the dominating portfolio in the proxy analysis. The submarket indexes tell the analogous story. One should note that seemingly contrarian feature of lagged ΔPB except for the DJIA is not consistent with the results of the subsequent proxy </w:t>
      </w:r>
      <w:r w:rsidR="00924020" w:rsidRPr="0078633D">
        <w:rPr>
          <w:rFonts w:ascii="Times New Roman" w:hAnsi="Times New Roman" w:cs="Times New Roman"/>
          <w:sz w:val="20"/>
          <w:szCs w:val="20"/>
        </w:rPr>
        <w:t xml:space="preserve">panel </w:t>
      </w:r>
      <w:r w:rsidRPr="0078633D">
        <w:rPr>
          <w:rFonts w:ascii="Times New Roman" w:hAnsi="Times New Roman" w:cs="Times New Roman"/>
          <w:sz w:val="20"/>
          <w:szCs w:val="20"/>
        </w:rPr>
        <w:t xml:space="preserve">regression analysis. Investors should not actively practice the contrarian strategy based on the lagged ΔPB. As in the contemporaneous analysis, the mean differences between the top and bottom portfolios are mostly significant at the </w:t>
      </w:r>
      <w:r w:rsidR="00E27679" w:rsidRPr="0078633D">
        <w:rPr>
          <w:rFonts w:ascii="Times New Roman" w:hAnsi="Times New Roman" w:cs="Times New Roman"/>
          <w:sz w:val="20"/>
          <w:szCs w:val="20"/>
        </w:rPr>
        <w:t>one</w:t>
      </w:r>
      <w:r w:rsidRPr="0078633D">
        <w:rPr>
          <w:rFonts w:ascii="Times New Roman" w:hAnsi="Times New Roman" w:cs="Times New Roman"/>
          <w:sz w:val="20"/>
          <w:szCs w:val="20"/>
        </w:rPr>
        <w:t xml:space="preserve"> percent level. </w:t>
      </w:r>
      <w:r w:rsidR="00781B36" w:rsidRPr="0078633D">
        <w:rPr>
          <w:rFonts w:ascii="Times New Roman" w:hAnsi="Times New Roman" w:cs="Times New Roman"/>
          <w:sz w:val="20"/>
          <w:szCs w:val="20"/>
        </w:rPr>
        <w:t xml:space="preserve">A few exceptions are detected in the GiE and ROE classifications. In the GiE, the mean differences for the DJIA, Mid Cap and Small Cap are not significantly different at the conventional levels. The same is true for the DJIA in the ROE classification. </w:t>
      </w:r>
      <w:r w:rsidRPr="0078633D">
        <w:rPr>
          <w:rFonts w:ascii="Times New Roman" w:hAnsi="Times New Roman" w:cs="Times New Roman"/>
          <w:sz w:val="20"/>
          <w:szCs w:val="20"/>
        </w:rPr>
        <w:t xml:space="preserve">  </w:t>
      </w:r>
    </w:p>
    <w:p w:rsidR="00FF5B9F" w:rsidRPr="0078633D" w:rsidRDefault="00FF5B9F" w:rsidP="0078633D">
      <w:pPr>
        <w:pStyle w:val="a3"/>
        <w:numPr>
          <w:ilvl w:val="0"/>
          <w:numId w:val="15"/>
        </w:numPr>
        <w:spacing w:after="0" w:line="480" w:lineRule="auto"/>
        <w:jc w:val="both"/>
        <w:rPr>
          <w:rFonts w:ascii="Times New Roman" w:hAnsi="Times New Roman" w:cs="Times New Roman"/>
          <w:sz w:val="26"/>
          <w:szCs w:val="26"/>
        </w:rPr>
      </w:pPr>
      <w:r w:rsidRPr="0078633D">
        <w:rPr>
          <w:rFonts w:ascii="Times New Roman" w:hAnsi="Times New Roman" w:cs="Times New Roman"/>
          <w:sz w:val="26"/>
          <w:szCs w:val="26"/>
        </w:rPr>
        <w:t>Contemporaneous Fixed Effects Panel</w:t>
      </w:r>
      <w:r w:rsidR="00FF0BCF" w:rsidRPr="0078633D">
        <w:rPr>
          <w:rFonts w:ascii="Times New Roman" w:hAnsi="Times New Roman" w:cs="Times New Roman"/>
          <w:sz w:val="26"/>
          <w:szCs w:val="26"/>
        </w:rPr>
        <w:t xml:space="preserve"> Regression</w:t>
      </w:r>
    </w:p>
    <w:p w:rsidR="00924020" w:rsidRPr="0078633D" w:rsidRDefault="00924020"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Next, I present three versions of regression analysis. The first version runs a simple regression on the pooled observations. The anticipated econometric problems such as heteroscedasticity, autocorrelation, and fixed and </w:t>
      </w:r>
      <w:r w:rsidRPr="0078633D">
        <w:rPr>
          <w:rFonts w:ascii="Times New Roman" w:hAnsi="Times New Roman" w:cs="Times New Roman"/>
          <w:sz w:val="20"/>
          <w:szCs w:val="20"/>
        </w:rPr>
        <w:lastRenderedPageBreak/>
        <w:t>random effects of cross-section and time are not addressed in this version. Using the Newey-West HAC standard errors of the coefficients, the second version addresses the problems of heteroscedasticity and autocorrelation. The third version goes one-step further by running a panel regression incorporating the fixed effects of both cross-sectional and time-series observations:</w:t>
      </w:r>
      <w:r w:rsidR="00246002" w:rsidRPr="0078633D">
        <w:rPr>
          <w:rStyle w:val="aa"/>
          <w:rFonts w:ascii="Times New Roman" w:hAnsi="Times New Roman" w:cs="Times New Roman"/>
          <w:sz w:val="20"/>
          <w:szCs w:val="20"/>
        </w:rPr>
        <w:t xml:space="preserve"> </w:t>
      </w:r>
    </w:p>
    <w:p w:rsidR="00246002" w:rsidRPr="0078633D" w:rsidRDefault="00FC1B4D" w:rsidP="0078633D">
      <w:pPr>
        <w:tabs>
          <w:tab w:val="left" w:pos="9180"/>
        </w:tabs>
        <w:spacing w:after="0" w:line="480" w:lineRule="auto"/>
        <w:jc w:val="both"/>
        <w:rPr>
          <w:rFonts w:ascii="Times New Roman" w:hAnsi="Times New Roman" w:cs="Times New Roman"/>
          <w:sz w:val="20"/>
          <w:szCs w:val="20"/>
        </w:rPr>
      </w:pP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it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GiE</m:t>
            </m:r>
          </m:e>
          <m:sub>
            <m:r>
              <w:rPr>
                <w:rFonts w:ascii="Cambria Math" w:hAnsi="Cambria Math" w:cs="Times New Roman"/>
                <w:sz w:val="20"/>
                <w:szCs w:val="20"/>
              </w:rPr>
              <m:t>it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2</m:t>
            </m:r>
          </m:sub>
        </m:sSub>
        <m:sSub>
          <m:sSubPr>
            <m:ctrlPr>
              <w:rPr>
                <w:rFonts w:ascii="Cambria Math" w:hAnsi="Cambria Math" w:cs="Times New Roman"/>
                <w:i/>
                <w:sz w:val="20"/>
                <w:szCs w:val="20"/>
              </w:rPr>
            </m:ctrlPr>
          </m:sSubPr>
          <m:e>
            <m:r>
              <w:rPr>
                <w:rFonts w:ascii="Cambria Math" w:hAnsi="Cambria Math" w:cs="Times New Roman"/>
                <w:sz w:val="20"/>
                <w:szCs w:val="20"/>
              </w:rPr>
              <m:t>ROE</m:t>
            </m:r>
          </m:e>
          <m:sub>
            <m:r>
              <w:rPr>
                <w:rFonts w:ascii="Cambria Math" w:hAnsi="Cambria Math" w:cs="Times New Roman"/>
                <w:sz w:val="20"/>
                <w:szCs w:val="20"/>
              </w:rPr>
              <m:t>it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3</m:t>
            </m:r>
          </m:sub>
        </m:sSub>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it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β</m:t>
            </m:r>
          </m:e>
          <m:sub>
            <m:r>
              <w:rPr>
                <w:rFonts w:ascii="Cambria Math" w:hAnsi="Cambria Math" w:cs="Times New Roman"/>
                <w:sz w:val="20"/>
                <w:szCs w:val="20"/>
              </w:rPr>
              <m:t>4</m:t>
            </m:r>
          </m:sub>
        </m:sSub>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it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Firm Fixed Effects</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Time Fixed Effests</m:t>
            </m:r>
          </m:e>
          <m:sub>
            <m:r>
              <w:rPr>
                <w:rFonts w:ascii="Cambria Math" w:hAnsi="Cambria Math" w:cs="Times New Roman"/>
                <w:sz w:val="20"/>
                <w:szCs w:val="20"/>
              </w:rPr>
              <m:t>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e</m:t>
            </m:r>
          </m:e>
          <m:sub>
            <m:r>
              <w:rPr>
                <w:rFonts w:ascii="Cambria Math" w:hAnsi="Cambria Math" w:cs="Times New Roman"/>
                <w:sz w:val="20"/>
                <w:szCs w:val="20"/>
              </w:rPr>
              <m:t>it</m:t>
            </m:r>
          </m:sub>
        </m:sSub>
      </m:oMath>
      <w:r w:rsidR="00246002" w:rsidRPr="0078633D">
        <w:rPr>
          <w:rFonts w:ascii="Times New Roman" w:hAnsi="Times New Roman" w:cs="Times New Roman"/>
          <w:sz w:val="20"/>
          <w:szCs w:val="20"/>
        </w:rPr>
        <w:tab/>
        <w:t>(1)</w:t>
      </w:r>
    </w:p>
    <w:p w:rsidR="00246002" w:rsidRPr="0078633D" w:rsidRDefault="00246002"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where </w:t>
      </w: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it</m:t>
            </m:r>
          </m:sub>
        </m:sSub>
      </m:oMath>
      <w:r w:rsidRPr="0078633D">
        <w:rPr>
          <w:rFonts w:ascii="Times New Roman" w:hAnsi="Times New Roman" w:cs="Times New Roman"/>
          <w:sz w:val="20"/>
          <w:szCs w:val="20"/>
        </w:rPr>
        <w:t xml:space="preserve"> = the total return on equity for firm i in year t, i.e., the capital gains yield plus the dividend yield during year t; </w:t>
      </w:r>
      <m:oMath>
        <m:sSub>
          <m:sSubPr>
            <m:ctrlPr>
              <w:rPr>
                <w:rFonts w:ascii="Cambria Math" w:hAnsi="Cambria Math" w:cs="Times New Roman"/>
                <w:i/>
                <w:sz w:val="20"/>
                <w:szCs w:val="20"/>
              </w:rPr>
            </m:ctrlPr>
          </m:sSubPr>
          <m:e>
            <m:r>
              <w:rPr>
                <w:rFonts w:ascii="Cambria Math" w:hAnsi="Cambria Math" w:cs="Times New Roman"/>
                <w:sz w:val="20"/>
                <w:szCs w:val="20"/>
              </w:rPr>
              <m:t>GiE</m:t>
            </m:r>
          </m:e>
          <m:sub>
            <m:r>
              <w:rPr>
                <w:rFonts w:ascii="Cambria Math" w:hAnsi="Cambria Math" w:cs="Times New Roman"/>
                <w:sz w:val="20"/>
                <w:szCs w:val="20"/>
              </w:rPr>
              <m:t>it</m:t>
            </m:r>
          </m:sub>
        </m:sSub>
      </m:oMath>
      <w:r w:rsidRPr="0078633D">
        <w:rPr>
          <w:rFonts w:ascii="Times New Roman" w:hAnsi="Times New Roman" w:cs="Times New Roman"/>
          <w:sz w:val="20"/>
          <w:szCs w:val="20"/>
        </w:rPr>
        <w:t xml:space="preserve"> = the growth in earnings for firm i in year t; </w:t>
      </w:r>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it</m:t>
            </m:r>
          </m:sub>
        </m:sSub>
      </m:oMath>
      <w:r w:rsidRPr="0078633D">
        <w:rPr>
          <w:rFonts w:ascii="Times New Roman" w:hAnsi="Times New Roman" w:cs="Times New Roman"/>
          <w:sz w:val="20"/>
          <w:szCs w:val="20"/>
        </w:rPr>
        <w:t xml:space="preserve"> = the price-to-book value ratio for firm i in year t; </w:t>
      </w:r>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it</m:t>
            </m:r>
          </m:sub>
        </m:sSub>
      </m:oMath>
      <w:r w:rsidRPr="0078633D">
        <w:rPr>
          <w:rFonts w:ascii="Times New Roman" w:hAnsi="Times New Roman" w:cs="Times New Roman"/>
          <w:sz w:val="20"/>
          <w:szCs w:val="20"/>
        </w:rPr>
        <w:t xml:space="preserve"> = the change in P/B for firm i from year t-1 to year t; </w:t>
      </w:r>
      <m:oMath>
        <m:sSub>
          <m:sSubPr>
            <m:ctrlPr>
              <w:rPr>
                <w:rFonts w:ascii="Cambria Math" w:hAnsi="Cambria Math" w:cs="Times New Roman"/>
                <w:i/>
                <w:sz w:val="20"/>
                <w:szCs w:val="20"/>
              </w:rPr>
            </m:ctrlPr>
          </m:sSubPr>
          <m:e>
            <m:r>
              <w:rPr>
                <w:rFonts w:ascii="Cambria Math" w:hAnsi="Cambria Math" w:cs="Times New Roman"/>
                <w:sz w:val="20"/>
                <w:szCs w:val="20"/>
              </w:rPr>
              <m:t>Firm Fixed Effects</m:t>
            </m:r>
          </m:e>
          <m:sub>
            <m:r>
              <w:rPr>
                <w:rFonts w:ascii="Cambria Math" w:hAnsi="Cambria Math" w:cs="Times New Roman"/>
                <w:sz w:val="20"/>
                <w:szCs w:val="20"/>
              </w:rPr>
              <m:t>i</m:t>
            </m:r>
          </m:sub>
        </m:sSub>
      </m:oMath>
      <w:r w:rsidRPr="0078633D">
        <w:rPr>
          <w:rFonts w:ascii="Times New Roman" w:hAnsi="Times New Roman" w:cs="Times New Roman"/>
          <w:sz w:val="20"/>
          <w:szCs w:val="20"/>
        </w:rPr>
        <w:t xml:space="preserve"> = a dummy variable for firm i; </w:t>
      </w:r>
      <m:oMath>
        <m:sSub>
          <m:sSubPr>
            <m:ctrlPr>
              <w:rPr>
                <w:rFonts w:ascii="Cambria Math" w:hAnsi="Cambria Math" w:cs="Times New Roman"/>
                <w:i/>
                <w:sz w:val="20"/>
                <w:szCs w:val="20"/>
              </w:rPr>
            </m:ctrlPr>
          </m:sSubPr>
          <m:e>
            <m:r>
              <w:rPr>
                <w:rFonts w:ascii="Cambria Math" w:hAnsi="Cambria Math" w:cs="Times New Roman"/>
                <w:sz w:val="20"/>
                <w:szCs w:val="20"/>
              </w:rPr>
              <m:t>Time Fixed Effects</m:t>
            </m:r>
          </m:e>
          <m:sub>
            <m:r>
              <w:rPr>
                <w:rFonts w:ascii="Cambria Math" w:hAnsi="Cambria Math" w:cs="Times New Roman"/>
                <w:sz w:val="20"/>
                <w:szCs w:val="20"/>
              </w:rPr>
              <m:t>t</m:t>
            </m:r>
          </m:sub>
        </m:sSub>
      </m:oMath>
      <w:r w:rsidRPr="0078633D">
        <w:rPr>
          <w:rFonts w:ascii="Times New Roman" w:hAnsi="Times New Roman" w:cs="Times New Roman"/>
          <w:sz w:val="20"/>
          <w:szCs w:val="20"/>
        </w:rPr>
        <w:t xml:space="preserve"> = a dummy variable for year t; and </w:t>
      </w:r>
      <m:oMath>
        <m:sSub>
          <m:sSubPr>
            <m:ctrlPr>
              <w:rPr>
                <w:rFonts w:ascii="Cambria Math" w:hAnsi="Cambria Math" w:cs="Times New Roman"/>
                <w:i/>
                <w:sz w:val="20"/>
                <w:szCs w:val="20"/>
              </w:rPr>
            </m:ctrlPr>
          </m:sSubPr>
          <m:e>
            <m:r>
              <w:rPr>
                <w:rFonts w:ascii="Cambria Math" w:hAnsi="Cambria Math" w:cs="Times New Roman"/>
                <w:sz w:val="20"/>
                <w:szCs w:val="20"/>
              </w:rPr>
              <m:t>e</m:t>
            </m:r>
          </m:e>
          <m:sub>
            <m:r>
              <w:rPr>
                <w:rFonts w:ascii="Cambria Math" w:hAnsi="Cambria Math" w:cs="Times New Roman"/>
                <w:sz w:val="20"/>
                <w:szCs w:val="20"/>
              </w:rPr>
              <m:t>it</m:t>
            </m:r>
          </m:sub>
        </m:sSub>
      </m:oMath>
      <w:r w:rsidRPr="0078633D">
        <w:rPr>
          <w:rFonts w:ascii="Times New Roman" w:hAnsi="Times New Roman" w:cs="Times New Roman"/>
          <w:sz w:val="20"/>
          <w:szCs w:val="20"/>
        </w:rPr>
        <w:t xml:space="preserve"> = the identically and independently distributed error term for firm i in year t. </w:t>
      </w:r>
      <w:r w:rsidR="00051FBB" w:rsidRPr="0078633D">
        <w:rPr>
          <w:rFonts w:ascii="Times New Roman" w:hAnsi="Times New Roman" w:cs="Times New Roman"/>
          <w:sz w:val="20"/>
          <w:szCs w:val="20"/>
        </w:rPr>
        <w:t>As mentioned previously, I also estimate the random effects panel regression and do not report the results, since its results are practically identical to the fixed effects’ results.</w:t>
      </w:r>
    </w:p>
    <w:p w:rsidR="00FF5B9F" w:rsidRPr="0078633D" w:rsidRDefault="00FF5B9F"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The models are estimated across the different market indexes and the results are shown in </w:t>
      </w:r>
      <w:r w:rsidR="00B64AE0"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4</w:t>
      </w:r>
      <w:r w:rsidRPr="0078633D">
        <w:rPr>
          <w:rFonts w:ascii="Times New Roman" w:hAnsi="Times New Roman" w:cs="Times New Roman"/>
          <w:sz w:val="20"/>
          <w:szCs w:val="20"/>
        </w:rPr>
        <w:t xml:space="preserve">. </w:t>
      </w:r>
      <w:r w:rsidR="00246002" w:rsidRPr="0078633D">
        <w:rPr>
          <w:rFonts w:ascii="Times New Roman" w:hAnsi="Times New Roman" w:cs="Times New Roman"/>
          <w:sz w:val="20"/>
          <w:szCs w:val="20"/>
        </w:rPr>
        <w:t xml:space="preserve">The simple pooled regression sends a clear message with respect to the sensitivities of stock returns to the value determinants. The negative coefficient of ROE across the board suggests that accounting return measure is not a good indicator of actual stock return. A different view is that investors can still utilize the accounting return measure – ROE – as a contrarian investment tool – i.e., invest in firms with low ROEs to earn higher returns. This result is not consistent with the outcomes of the portfolio return analysis in Table 2. The portfolio return analysis shows a positive association between stock returns and ROE – the higher ROE portfolio tends to command the higher return. For the S&amp;P 1500, for instance, the top ROE portfolio returns a mean of 17.34%, while the bottom ROE portfolio generates a mean of 5.78%. The identical pattern is observed among the submarket indexes, 8.23% vs. 6.76% for the DJIA, 16.84% vs. 6.64% for the Mid Cap, and 24.54% vs. 2.62% for the Small Cap. Considering the methodological superiority of the regression analysis to the simple mean comparison, this positive relation between stock returns and ROE observed in Table 2 may be misleading. The significant and positive coefficients of GiE, P/B, and ΔPB are observed in all of the market indexes. Provided that GiE and P/B are indicators of growth prospects, the positive relation is an ordinary consequence, since investors are likely to value firms </w:t>
      </w:r>
      <w:r w:rsidR="00051FBB" w:rsidRPr="0078633D">
        <w:rPr>
          <w:rFonts w:ascii="Times New Roman" w:hAnsi="Times New Roman" w:cs="Times New Roman"/>
          <w:sz w:val="20"/>
          <w:szCs w:val="20"/>
        </w:rPr>
        <w:t xml:space="preserve">high with high growth prospects. This result is, however, in contrast with the previous finding of Frank (2002) that the accounting information of high growth firms is less value-relevant compared to low growth firms. </w:t>
      </w:r>
      <w:r w:rsidRPr="0078633D">
        <w:rPr>
          <w:rFonts w:ascii="Times New Roman" w:hAnsi="Times New Roman" w:cs="Times New Roman"/>
          <w:sz w:val="20"/>
          <w:szCs w:val="20"/>
        </w:rPr>
        <w:t xml:space="preserve">     </w:t>
      </w:r>
    </w:p>
    <w:p w:rsidR="00B64AE0" w:rsidRPr="0078633D" w:rsidRDefault="006B77AC" w:rsidP="00612DE5">
      <w:pPr>
        <w:spacing w:after="0" w:line="480" w:lineRule="auto"/>
        <w:ind w:firstLine="426"/>
        <w:jc w:val="center"/>
        <w:rPr>
          <w:rFonts w:ascii="Times New Roman" w:hAnsi="Times New Roman" w:cs="Times New Roman"/>
          <w:sz w:val="20"/>
          <w:szCs w:val="20"/>
        </w:rPr>
      </w:pPr>
      <w:r w:rsidRPr="0078633D">
        <w:rPr>
          <w:rFonts w:ascii="Times New Roman" w:hAnsi="Times New Roman" w:cs="Times New Roman"/>
          <w:sz w:val="20"/>
          <w:szCs w:val="20"/>
        </w:rPr>
        <w:t>&lt;Insert Table 4</w:t>
      </w:r>
      <w:r w:rsidR="00B64AE0" w:rsidRPr="0078633D">
        <w:rPr>
          <w:rFonts w:ascii="Times New Roman" w:hAnsi="Times New Roman" w:cs="Times New Roman"/>
          <w:sz w:val="20"/>
          <w:szCs w:val="20"/>
        </w:rPr>
        <w:t xml:space="preserve"> here&gt;</w:t>
      </w:r>
    </w:p>
    <w:p w:rsidR="00FF5B9F" w:rsidRPr="0078633D" w:rsidRDefault="00FF5B9F"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lastRenderedPageBreak/>
        <w:t>The interpretation of the ΔPB coefficient is much more intriguing. It is necessary to revisit the meaning of the P/B coefficient in order to understand the ΔPB impact on stock returns. To this end, let me focus on the results of the fixed effects panel regression for the S&amp;P 1500 Index, since the index combines all the firms in other indexes. The P/B coefficient of 0.0179 means that one-unit change in P/B leads to 1.79% change in total stock return. The information content of the one-unit change in P/B comes from the difference between P/B</w:t>
      </w:r>
      <w:r w:rsidRPr="0078633D">
        <w:rPr>
          <w:rFonts w:ascii="Times New Roman" w:hAnsi="Times New Roman" w:cs="Times New Roman"/>
          <w:sz w:val="20"/>
          <w:szCs w:val="20"/>
          <w:vertAlign w:val="subscript"/>
        </w:rPr>
        <w:t>t</w:t>
      </w:r>
      <w:r w:rsidRPr="0078633D">
        <w:rPr>
          <w:rFonts w:ascii="Times New Roman" w:hAnsi="Times New Roman" w:cs="Times New Roman"/>
          <w:sz w:val="20"/>
          <w:szCs w:val="20"/>
        </w:rPr>
        <w:t xml:space="preserve"> and P/B</w:t>
      </w:r>
      <w:r w:rsidRPr="0078633D">
        <w:rPr>
          <w:rFonts w:ascii="Times New Roman" w:hAnsi="Times New Roman" w:cs="Times New Roman"/>
          <w:sz w:val="20"/>
          <w:szCs w:val="20"/>
          <w:vertAlign w:val="subscript"/>
        </w:rPr>
        <w:t>t-1</w:t>
      </w:r>
      <w:r w:rsidRPr="0078633D">
        <w:rPr>
          <w:rFonts w:ascii="Times New Roman" w:hAnsi="Times New Roman" w:cs="Times New Roman"/>
          <w:sz w:val="20"/>
          <w:szCs w:val="20"/>
        </w:rPr>
        <w:t xml:space="preserve">, which is the definition of ΔPB. Now, the ΔPB coefficient of 0.0097 indicates that one-unit change in ΔPB results in 0.97% change in total stock return. </w:t>
      </w:r>
      <w:r w:rsidR="008938C7" w:rsidRPr="0078633D">
        <w:rPr>
          <w:rFonts w:ascii="Times New Roman" w:hAnsi="Times New Roman" w:cs="Times New Roman"/>
          <w:sz w:val="20"/>
          <w:szCs w:val="20"/>
        </w:rPr>
        <w:t>The information content of the ΔPB coefficient can be decomposed into the information contained in ΔPB</w:t>
      </w:r>
      <w:r w:rsidR="008938C7" w:rsidRPr="0078633D">
        <w:rPr>
          <w:rFonts w:ascii="Times New Roman" w:hAnsi="Times New Roman" w:cs="Times New Roman"/>
          <w:sz w:val="20"/>
          <w:szCs w:val="20"/>
          <w:vertAlign w:val="subscript"/>
        </w:rPr>
        <w:t>t</w:t>
      </w:r>
      <w:r w:rsidR="008938C7" w:rsidRPr="0078633D">
        <w:rPr>
          <w:rFonts w:ascii="Times New Roman" w:hAnsi="Times New Roman" w:cs="Times New Roman"/>
          <w:sz w:val="20"/>
          <w:szCs w:val="20"/>
        </w:rPr>
        <w:t xml:space="preserve"> and the information in ΔPB</w:t>
      </w:r>
      <w:r w:rsidR="008938C7" w:rsidRPr="0078633D">
        <w:rPr>
          <w:rFonts w:ascii="Times New Roman" w:hAnsi="Times New Roman" w:cs="Times New Roman"/>
          <w:sz w:val="20"/>
          <w:szCs w:val="20"/>
          <w:vertAlign w:val="subscript"/>
        </w:rPr>
        <w:t>t-1</w:t>
      </w:r>
      <w:r w:rsidR="008938C7" w:rsidRPr="0078633D">
        <w:rPr>
          <w:rFonts w:ascii="Times New Roman" w:hAnsi="Times New Roman" w:cs="Times New Roman"/>
          <w:sz w:val="20"/>
          <w:szCs w:val="20"/>
        </w:rPr>
        <w:t>:</w:t>
      </w:r>
    </w:p>
    <w:p w:rsidR="00FF5B9F" w:rsidRPr="0078633D" w:rsidRDefault="00FC1B4D" w:rsidP="00612DE5">
      <w:pPr>
        <w:spacing w:after="0" w:line="480" w:lineRule="auto"/>
        <w:ind w:left="720" w:firstLine="426"/>
        <w:jc w:val="right"/>
        <w:rPr>
          <w:rFonts w:ascii="Times New Roman" w:hAnsi="Times New Roman" w:cs="Times New Roman"/>
          <w:sz w:val="20"/>
          <w:szCs w:val="20"/>
        </w:rPr>
      </w:pPr>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t-2</m:t>
            </m:r>
          </m:sub>
        </m:sSub>
        <m:r>
          <w:rPr>
            <w:rFonts w:ascii="Cambria Math" w:hAnsi="Cambria Math" w:cs="Times New Roman"/>
            <w:sz w:val="20"/>
            <w:szCs w:val="20"/>
          </w:rPr>
          <m:t>)</m:t>
        </m:r>
      </m:oMath>
      <w:r w:rsidR="00282CA2" w:rsidRPr="0078633D">
        <w:rPr>
          <w:rFonts w:ascii="Times New Roman" w:hAnsi="Times New Roman" w:cs="Times New Roman"/>
          <w:sz w:val="20"/>
          <w:szCs w:val="20"/>
        </w:rPr>
        <w:t xml:space="preserve">  </w:t>
      </w:r>
      <w:r w:rsidR="00282CA2" w:rsidRPr="0078633D">
        <w:rPr>
          <w:rFonts w:ascii="Times New Roman" w:hAnsi="Times New Roman" w:cs="Times New Roman"/>
          <w:sz w:val="20"/>
          <w:szCs w:val="20"/>
        </w:rPr>
        <w:tab/>
      </w:r>
      <w:r w:rsidR="00282CA2" w:rsidRPr="0078633D">
        <w:rPr>
          <w:rFonts w:ascii="Times New Roman" w:hAnsi="Times New Roman" w:cs="Times New Roman"/>
          <w:sz w:val="20"/>
          <w:szCs w:val="20"/>
        </w:rPr>
        <w:tab/>
        <w:t>(2</w:t>
      </w:r>
      <w:r w:rsidR="00FF5B9F" w:rsidRPr="0078633D">
        <w:rPr>
          <w:rFonts w:ascii="Times New Roman" w:hAnsi="Times New Roman" w:cs="Times New Roman"/>
          <w:sz w:val="20"/>
          <w:szCs w:val="20"/>
        </w:rPr>
        <w:t>)</w:t>
      </w:r>
    </w:p>
    <w:p w:rsidR="008938C7" w:rsidRPr="0078633D" w:rsidRDefault="008938C7"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To describe it from a different perspective, the information content in the ΔPB coefficient concentrates more on unexpected value information contained in the P/B ratio compared to the P/B coefficient. As a result, we expect to observe a significant value effect of ΔPB on stock returns especially as the </w:t>
      </w:r>
      <w:r w:rsidRPr="0078633D">
        <w:rPr>
          <w:rFonts w:ascii="Times New Roman" w:hAnsi="Times New Roman" w:cs="Times New Roman"/>
          <w:i/>
          <w:sz w:val="20"/>
          <w:szCs w:val="20"/>
        </w:rPr>
        <w:t>conventional</w:t>
      </w:r>
      <w:r w:rsidRPr="0078633D">
        <w:rPr>
          <w:rFonts w:ascii="Times New Roman" w:hAnsi="Times New Roman" w:cs="Times New Roman"/>
          <w:sz w:val="20"/>
          <w:szCs w:val="20"/>
        </w:rPr>
        <w:t xml:space="preserve"> P/B ratio has proven to be an important value determinant. The results in Table 4 confirm this expectation. All of the ΔPB coefficients are as significant as the P/B coefficients in terms of t-statistics. For example, the ΔPB coefficient and its standard error for the S&amp;P 1500 are 0.0097 and 0.0005, while those for the P/B ratio are 0.0179 and 0.0011. The resulting t-statistics for the ΔPB and the P/B ratio are 19.4 (=0.0097/0.0005) and 16.27 (=0.0179/0.0011) respectively. Similar patterns are found across the market indexes and models. The multicollinearity between ΔPB and P/B is not a concern unless the lagged ΔPB (=</w:t>
      </w:r>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w:r w:rsidRPr="0078633D">
        <w:rPr>
          <w:rFonts w:ascii="Times New Roman" w:hAnsi="Times New Roman" w:cs="Times New Roman"/>
          <w:sz w:val="20"/>
          <w:szCs w:val="20"/>
        </w:rPr>
        <w:t xml:space="preserve">) changes in a systematic way. </w:t>
      </w:r>
      <w:r w:rsidR="00051FBB" w:rsidRPr="0078633D">
        <w:rPr>
          <w:rFonts w:ascii="Times New Roman" w:hAnsi="Times New Roman" w:cs="Times New Roman"/>
          <w:sz w:val="20"/>
          <w:szCs w:val="20"/>
        </w:rPr>
        <w:t xml:space="preserve">As a robustness check, I run the regressions either without the P/B ratio or without ΔPB and find that outcomes are not sensitive to the choice of ΔPB against the P/B ratio and vice versa.  </w:t>
      </w:r>
      <w:r w:rsidRPr="0078633D">
        <w:rPr>
          <w:rFonts w:ascii="Times New Roman" w:hAnsi="Times New Roman" w:cs="Times New Roman"/>
          <w:sz w:val="20"/>
          <w:szCs w:val="20"/>
        </w:rPr>
        <w:t>In sum, the four independent variables appear to be significant determinants of stock returns and the strong relations hold across the four market indexes and three versions of regression analysis. A more thought-provoking finding is that the ΔPB appears to be as a significant value determinant as the P/B ratio.</w:t>
      </w:r>
    </w:p>
    <w:p w:rsidR="0036646C" w:rsidRPr="0078633D" w:rsidRDefault="00CB0B37"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It is noteworthy that the adjusted R-squares markedly improve when the fixed effects of cross-section and time are incorporated. For the S&amp;P 1500, the adjusted R-square of the fixed effect panel regression</w:t>
      </w:r>
      <w:r w:rsidR="00FB262A" w:rsidRPr="0078633D">
        <w:rPr>
          <w:rFonts w:ascii="Times New Roman" w:hAnsi="Times New Roman" w:cs="Times New Roman"/>
          <w:sz w:val="20"/>
          <w:szCs w:val="20"/>
        </w:rPr>
        <w:t xml:space="preserve"> (0.2225) is about</w:t>
      </w:r>
      <w:r w:rsidRPr="0078633D">
        <w:rPr>
          <w:rFonts w:ascii="Times New Roman" w:hAnsi="Times New Roman" w:cs="Times New Roman"/>
          <w:sz w:val="20"/>
          <w:szCs w:val="20"/>
        </w:rPr>
        <w:t xml:space="preserve"> twice that of the pooled regressions</w:t>
      </w:r>
      <w:r w:rsidR="00FB262A" w:rsidRPr="0078633D">
        <w:rPr>
          <w:rFonts w:ascii="Times New Roman" w:hAnsi="Times New Roman" w:cs="Times New Roman"/>
          <w:sz w:val="20"/>
          <w:szCs w:val="20"/>
        </w:rPr>
        <w:t xml:space="preserve"> (0.1107)</w:t>
      </w:r>
      <w:r w:rsidRPr="0078633D">
        <w:rPr>
          <w:rFonts w:ascii="Times New Roman" w:hAnsi="Times New Roman" w:cs="Times New Roman"/>
          <w:sz w:val="20"/>
          <w:szCs w:val="20"/>
        </w:rPr>
        <w:t xml:space="preserve">. </w:t>
      </w:r>
      <w:r w:rsidR="00FB262A" w:rsidRPr="0078633D">
        <w:rPr>
          <w:rFonts w:ascii="Times New Roman" w:hAnsi="Times New Roman" w:cs="Times New Roman"/>
          <w:sz w:val="20"/>
          <w:szCs w:val="20"/>
        </w:rPr>
        <w:t xml:space="preserve">The other three indexes show a similar improvement in the goodness of fit. </w:t>
      </w:r>
      <w:r w:rsidRPr="0078633D">
        <w:rPr>
          <w:rFonts w:ascii="Times New Roman" w:hAnsi="Times New Roman" w:cs="Times New Roman"/>
          <w:sz w:val="20"/>
          <w:szCs w:val="20"/>
        </w:rPr>
        <w:t>Notice that the results of the simple pooled regression and the pooled regression with HAC standard errors are identical except for the standard error</w:t>
      </w:r>
      <w:r w:rsidR="00E41A31" w:rsidRPr="0078633D">
        <w:rPr>
          <w:rFonts w:ascii="Times New Roman" w:hAnsi="Times New Roman" w:cs="Times New Roman"/>
          <w:sz w:val="20"/>
          <w:szCs w:val="20"/>
        </w:rPr>
        <w:t>s</w:t>
      </w:r>
      <w:r w:rsidRPr="0078633D">
        <w:rPr>
          <w:rFonts w:ascii="Times New Roman" w:hAnsi="Times New Roman" w:cs="Times New Roman"/>
          <w:sz w:val="20"/>
          <w:szCs w:val="20"/>
        </w:rPr>
        <w:t xml:space="preserve"> of the coefficients owing to the Newey-West adjustment for heteroscedasticity and autocorrelation.  </w:t>
      </w:r>
    </w:p>
    <w:p w:rsidR="00056E89" w:rsidRPr="0078633D" w:rsidRDefault="008D7276"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lastRenderedPageBreak/>
        <w:t xml:space="preserve">A concern in the regression analysis is that the dependent variable and the ΔPB may measure the same thing – i.e., the ΔPB is endogenous. If so, the strong stance of the ΔPB in the models is fully expected and meaningless. I argue that this concern is not justified at least for three reasons: 1) The dependent variable, total stock return, contains the direct effect of dividend yield, while ΔPB does not; 2) The portion of capital gains yield in the dependent variable represents the simple percentage difference between two prices one year apart. But, the price difference in ΔPB reflects the random change in the book value of equity. To be explicit, ΔPB, </w:t>
      </w:r>
      <m:oMath>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t</m:t>
                </m:r>
              </m:sub>
            </m:sSub>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t-1</m:t>
                </m:r>
              </m:sub>
            </m:sSub>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t</m:t>
                </m:r>
              </m:sub>
            </m:sSub>
          </m:num>
          <m:den>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t</m:t>
                </m:r>
              </m:sub>
            </m:sSub>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t-1</m:t>
                </m:r>
              </m:sub>
            </m:sSub>
          </m:den>
        </m:f>
      </m:oMath>
      <w:r w:rsidRPr="0078633D">
        <w:rPr>
          <w:rFonts w:ascii="Times New Roman" w:hAnsi="Times New Roman" w:cs="Times New Roman"/>
          <w:sz w:val="20"/>
          <w:szCs w:val="20"/>
        </w:rPr>
        <w:t xml:space="preserve">, is not an appropriate substitute of the total stock return, </w:t>
      </w:r>
      <m:oMath>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D</m:t>
                </m:r>
              </m:e>
              <m:sub>
                <m:r>
                  <w:rPr>
                    <w:rFonts w:ascii="Cambria Math" w:hAnsi="Cambria Math" w:cs="Times New Roman"/>
                    <w:sz w:val="20"/>
                    <w:szCs w:val="20"/>
                  </w:rPr>
                  <m:t>t</m:t>
                </m:r>
              </m:sub>
            </m:sSub>
          </m:num>
          <m:den>
            <m:sSub>
              <m:sSubPr>
                <m:ctrlPr>
                  <w:rPr>
                    <w:rFonts w:ascii="Cambria Math" w:hAnsi="Cambria Math" w:cs="Times New Roman"/>
                    <w:i/>
                    <w:sz w:val="20"/>
                    <w:szCs w:val="20"/>
                  </w:rPr>
                </m:ctrlPr>
              </m:sSubPr>
              <m:e>
                <m:r>
                  <w:rPr>
                    <w:rFonts w:ascii="Cambria Math" w:hAnsi="Cambria Math" w:cs="Times New Roman"/>
                    <w:sz w:val="20"/>
                    <w:szCs w:val="20"/>
                  </w:rPr>
                  <m:t>P</m:t>
                </m:r>
              </m:e>
              <m:sub>
                <m:r>
                  <w:rPr>
                    <w:rFonts w:ascii="Cambria Math" w:hAnsi="Cambria Math" w:cs="Times New Roman"/>
                    <w:sz w:val="20"/>
                    <w:szCs w:val="20"/>
                  </w:rPr>
                  <m:t>t-1</m:t>
                </m:r>
              </m:sub>
            </m:sSub>
          </m:den>
        </m:f>
      </m:oMath>
      <w:r w:rsidRPr="0078633D">
        <w:rPr>
          <w:rFonts w:ascii="Times New Roman" w:hAnsi="Times New Roman" w:cs="Times New Roman"/>
          <w:sz w:val="20"/>
          <w:szCs w:val="20"/>
        </w:rPr>
        <w:t xml:space="preserve"> unless the growth in the book value of equity (B) is zero or constant; and 3) The Pearson correlation between the dependent variable and ΔPB is rather moderate at 0.12.</w:t>
      </w:r>
      <w:r w:rsidR="00051FBB" w:rsidRPr="0078633D">
        <w:rPr>
          <w:rFonts w:ascii="Times New Roman" w:hAnsi="Times New Roman" w:cs="Times New Roman"/>
          <w:sz w:val="20"/>
          <w:szCs w:val="20"/>
        </w:rPr>
        <w:t xml:space="preserve"> In the next section, I run proxy fixed effects regressions where both the lagged ΔPB and the lagged stock return appear on the right hand side of the regressions. If near-perfect endogeneity exists between stock returns and ΔPB, we expect to observe a clear problem of multicollinearity.</w:t>
      </w:r>
      <w:r w:rsidR="002E55C2" w:rsidRPr="0078633D">
        <w:rPr>
          <w:rFonts w:ascii="Times New Roman" w:hAnsi="Times New Roman" w:cs="Times New Roman"/>
          <w:sz w:val="20"/>
          <w:szCs w:val="20"/>
        </w:rPr>
        <w:t xml:space="preserve"> </w:t>
      </w:r>
      <w:r w:rsidR="001B281E" w:rsidRPr="0078633D">
        <w:rPr>
          <w:rFonts w:ascii="Times New Roman" w:hAnsi="Times New Roman" w:cs="Times New Roman"/>
          <w:sz w:val="20"/>
          <w:szCs w:val="20"/>
        </w:rPr>
        <w:t xml:space="preserve"> </w:t>
      </w:r>
    </w:p>
    <w:p w:rsidR="00506016" w:rsidRPr="0078633D" w:rsidRDefault="008D7276"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The reason I have three distinct market indexes in addition to the general market index, the S&amp;P 1500, involves the potential size effect in relating stock returns to value determinants. I report no size effect in a sense that the significance and direction of the impact of value determinants on stock returns persist regardless of firm size. A type of size effect, however, is detected in the GiE and P/B coefficients. The coefficients of GiE and P/B systematically increase as the firm size decreases. Small cap stocks tend to earn higher returns than large cap stocks for the given change in GiE and P/B. Consequently, the risk-neutral investors who base their investment decision on GiE and/or P/B are expected to prefer small cap stocks to large cap. For the other two variables, the evidence of size effect is much weaker. There are no monotonically declining or rising patterns of the ROE and ΔPB coefficients due to the change in firm size, although the two extreme market indexes, small and large, reveal that the coefficients of ROE and ΔPB for the S&amp;P Small Cap are algebraically smaller than those for the DJIA. According to the fixed effects panel regression, the ROE coefficient of -1.1357 for the S&amp;P Small Cap is in absolute term larger than the corresponding coefficient of -0.8340 for the DJIA. The same is true for ΔPB. The coefficient of 0.0366 for the Small Cap is only 61.3% of 0.0597 for the DJIA. For a given value of ROE and ΔPB, this implies that unlike the case of GiE and P/B the risk-neutral investors prefer large-cap stocks to small-cap. Of course, most investors are not risk-neutral and accordingly the size-based investment recommendations should be taken with caution. </w:t>
      </w:r>
    </w:p>
    <w:p w:rsidR="00F47120" w:rsidRPr="0078633D" w:rsidRDefault="00F47120" w:rsidP="0078633D">
      <w:pPr>
        <w:pStyle w:val="a3"/>
        <w:numPr>
          <w:ilvl w:val="0"/>
          <w:numId w:val="15"/>
        </w:numPr>
        <w:spacing w:after="0" w:line="480" w:lineRule="auto"/>
        <w:jc w:val="both"/>
        <w:rPr>
          <w:rFonts w:ascii="Times New Roman" w:hAnsi="Times New Roman" w:cs="Times New Roman"/>
          <w:sz w:val="26"/>
          <w:szCs w:val="26"/>
        </w:rPr>
      </w:pPr>
      <w:r w:rsidRPr="0078633D">
        <w:rPr>
          <w:rFonts w:ascii="Times New Roman" w:hAnsi="Times New Roman" w:cs="Times New Roman"/>
          <w:sz w:val="26"/>
          <w:szCs w:val="26"/>
        </w:rPr>
        <w:t xml:space="preserve">Proxy </w:t>
      </w:r>
      <w:r w:rsidR="00451310" w:rsidRPr="0078633D">
        <w:rPr>
          <w:rFonts w:ascii="Times New Roman" w:hAnsi="Times New Roman" w:cs="Times New Roman"/>
          <w:sz w:val="26"/>
          <w:szCs w:val="26"/>
        </w:rPr>
        <w:t>Fixed Effects Panel Regression</w:t>
      </w:r>
      <w:r w:rsidRPr="0078633D">
        <w:rPr>
          <w:rFonts w:ascii="Times New Roman" w:hAnsi="Times New Roman" w:cs="Times New Roman"/>
          <w:sz w:val="26"/>
          <w:szCs w:val="26"/>
        </w:rPr>
        <w:t>: Naïve Forecasting</w:t>
      </w:r>
    </w:p>
    <w:p w:rsidR="00B9031F" w:rsidRPr="0078633D" w:rsidRDefault="003B2D95"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lastRenderedPageBreak/>
        <w:t>T</w:t>
      </w:r>
      <w:r w:rsidR="003652B1" w:rsidRPr="0078633D">
        <w:rPr>
          <w:rFonts w:ascii="Times New Roman" w:hAnsi="Times New Roman" w:cs="Times New Roman"/>
          <w:sz w:val="20"/>
          <w:szCs w:val="20"/>
        </w:rPr>
        <w:t xml:space="preserve">he contemporaneous </w:t>
      </w:r>
      <w:r w:rsidR="00CD40D5" w:rsidRPr="0078633D">
        <w:rPr>
          <w:rFonts w:ascii="Times New Roman" w:hAnsi="Times New Roman" w:cs="Times New Roman"/>
          <w:sz w:val="20"/>
          <w:szCs w:val="20"/>
        </w:rPr>
        <w:t xml:space="preserve">regression analysis </w:t>
      </w:r>
      <w:r w:rsidRPr="0078633D">
        <w:rPr>
          <w:rFonts w:ascii="Times New Roman" w:hAnsi="Times New Roman" w:cs="Times New Roman"/>
          <w:sz w:val="20"/>
          <w:szCs w:val="20"/>
        </w:rPr>
        <w:t xml:space="preserve">implicitly </w:t>
      </w:r>
      <w:r w:rsidR="003652B1" w:rsidRPr="0078633D">
        <w:rPr>
          <w:rFonts w:ascii="Times New Roman" w:hAnsi="Times New Roman" w:cs="Times New Roman"/>
          <w:sz w:val="20"/>
          <w:szCs w:val="20"/>
        </w:rPr>
        <w:t>assumes perfect forecasting ability of investors</w:t>
      </w:r>
      <w:r w:rsidRPr="0078633D">
        <w:rPr>
          <w:rFonts w:ascii="Times New Roman" w:hAnsi="Times New Roman" w:cs="Times New Roman"/>
          <w:sz w:val="20"/>
          <w:szCs w:val="20"/>
        </w:rPr>
        <w:t xml:space="preserve"> to estimate the true values of the expected independent variables</w:t>
      </w:r>
      <w:r w:rsidR="00B9031F" w:rsidRPr="0078633D">
        <w:rPr>
          <w:rFonts w:ascii="Times New Roman" w:hAnsi="Times New Roman" w:cs="Times New Roman"/>
          <w:sz w:val="20"/>
          <w:szCs w:val="20"/>
        </w:rPr>
        <w:t xml:space="preserve">. </w:t>
      </w:r>
      <w:r w:rsidR="00112B25" w:rsidRPr="0078633D">
        <w:rPr>
          <w:rFonts w:ascii="Times New Roman" w:hAnsi="Times New Roman" w:cs="Times New Roman"/>
          <w:sz w:val="20"/>
          <w:szCs w:val="20"/>
        </w:rPr>
        <w:t>I release this</w:t>
      </w:r>
      <w:r w:rsidR="003652B1" w:rsidRPr="0078633D">
        <w:rPr>
          <w:rFonts w:ascii="Times New Roman" w:hAnsi="Times New Roman" w:cs="Times New Roman"/>
          <w:sz w:val="20"/>
          <w:szCs w:val="20"/>
        </w:rPr>
        <w:t xml:space="preserve"> assumption</w:t>
      </w:r>
      <w:r w:rsidR="00CD40D5" w:rsidRPr="0078633D">
        <w:rPr>
          <w:rFonts w:ascii="Times New Roman" w:hAnsi="Times New Roman" w:cs="Times New Roman"/>
          <w:sz w:val="20"/>
          <w:szCs w:val="20"/>
        </w:rPr>
        <w:t xml:space="preserve"> </w:t>
      </w:r>
      <w:r w:rsidR="003652B1" w:rsidRPr="0078633D">
        <w:rPr>
          <w:rFonts w:ascii="Times New Roman" w:hAnsi="Times New Roman" w:cs="Times New Roman"/>
          <w:sz w:val="20"/>
          <w:szCs w:val="20"/>
        </w:rPr>
        <w:t xml:space="preserve">and take advantage of general evidence that many financial time series follow the random walk </w:t>
      </w:r>
      <w:r w:rsidR="001862A7" w:rsidRPr="0078633D">
        <w:rPr>
          <w:rFonts w:ascii="Times New Roman" w:hAnsi="Times New Roman" w:cs="Times New Roman"/>
          <w:sz w:val="20"/>
          <w:szCs w:val="20"/>
        </w:rPr>
        <w:t>process that</w:t>
      </w:r>
      <w:r w:rsidR="003652B1" w:rsidRPr="0078633D">
        <w:rPr>
          <w:rFonts w:ascii="Times New Roman" w:hAnsi="Times New Roman" w:cs="Times New Roman"/>
          <w:sz w:val="20"/>
          <w:szCs w:val="20"/>
        </w:rPr>
        <w:t xml:space="preserve"> is a synonym of naïve forecasting. </w:t>
      </w:r>
      <w:r w:rsidR="0036047A" w:rsidRPr="0078633D">
        <w:rPr>
          <w:rFonts w:ascii="Times New Roman" w:hAnsi="Times New Roman" w:cs="Times New Roman"/>
          <w:sz w:val="20"/>
          <w:szCs w:val="20"/>
        </w:rPr>
        <w:t>The naïve forecasting claims that t</w:t>
      </w:r>
      <w:r w:rsidR="00FF010E" w:rsidRPr="0078633D">
        <w:rPr>
          <w:rFonts w:ascii="Times New Roman" w:hAnsi="Times New Roman" w:cs="Times New Roman"/>
          <w:sz w:val="20"/>
          <w:szCs w:val="20"/>
        </w:rPr>
        <w:t>he best estimate</w:t>
      </w:r>
      <w:r w:rsidR="00B9031F" w:rsidRPr="0078633D">
        <w:rPr>
          <w:rFonts w:ascii="Times New Roman" w:hAnsi="Times New Roman" w:cs="Times New Roman"/>
          <w:sz w:val="20"/>
          <w:szCs w:val="20"/>
        </w:rPr>
        <w:t xml:space="preserve"> or proxy</w:t>
      </w:r>
      <w:r w:rsidRPr="0078633D">
        <w:rPr>
          <w:rFonts w:ascii="Times New Roman" w:hAnsi="Times New Roman" w:cs="Times New Roman"/>
          <w:sz w:val="20"/>
          <w:szCs w:val="20"/>
        </w:rPr>
        <w:t xml:space="preserve"> of the expected</w:t>
      </w:r>
      <w:r w:rsidR="00FF010E" w:rsidRPr="0078633D">
        <w:rPr>
          <w:rFonts w:ascii="Times New Roman" w:hAnsi="Times New Roman" w:cs="Times New Roman"/>
          <w:sz w:val="20"/>
          <w:szCs w:val="20"/>
        </w:rPr>
        <w:t xml:space="preserve"> value of a variable for the upcoming period is </w:t>
      </w:r>
      <w:r w:rsidR="0036047A" w:rsidRPr="0078633D">
        <w:rPr>
          <w:rFonts w:ascii="Times New Roman" w:hAnsi="Times New Roman" w:cs="Times New Roman"/>
          <w:sz w:val="20"/>
          <w:szCs w:val="20"/>
        </w:rPr>
        <w:t xml:space="preserve">the current value of the variable. </w:t>
      </w:r>
      <w:r w:rsidR="00B9031F" w:rsidRPr="0078633D">
        <w:rPr>
          <w:rFonts w:ascii="Times New Roman" w:hAnsi="Times New Roman" w:cs="Times New Roman"/>
          <w:sz w:val="20"/>
          <w:szCs w:val="20"/>
        </w:rPr>
        <w:t>D</w:t>
      </w:r>
      <w:r w:rsidR="002D00E9" w:rsidRPr="0078633D">
        <w:rPr>
          <w:rFonts w:ascii="Times New Roman" w:hAnsi="Times New Roman" w:cs="Times New Roman"/>
          <w:sz w:val="20"/>
          <w:szCs w:val="20"/>
        </w:rPr>
        <w:t>raw</w:t>
      </w:r>
      <w:r w:rsidR="00B9031F" w:rsidRPr="0078633D">
        <w:rPr>
          <w:rFonts w:ascii="Times New Roman" w:hAnsi="Times New Roman" w:cs="Times New Roman"/>
          <w:sz w:val="20"/>
          <w:szCs w:val="20"/>
        </w:rPr>
        <w:t>ing on this claim,</w:t>
      </w:r>
      <w:r w:rsidR="002D00E9" w:rsidRPr="0078633D">
        <w:rPr>
          <w:rFonts w:ascii="Times New Roman" w:hAnsi="Times New Roman" w:cs="Times New Roman"/>
          <w:sz w:val="20"/>
          <w:szCs w:val="20"/>
        </w:rPr>
        <w:t xml:space="preserve"> I replace the contemporaneous values of the independent variables in the contemporan</w:t>
      </w:r>
      <w:r w:rsidR="00112B25" w:rsidRPr="0078633D">
        <w:rPr>
          <w:rFonts w:ascii="Times New Roman" w:hAnsi="Times New Roman" w:cs="Times New Roman"/>
          <w:sz w:val="20"/>
          <w:szCs w:val="20"/>
        </w:rPr>
        <w:t>eous regression with the lagged</w:t>
      </w:r>
      <w:r w:rsidR="002D00E9" w:rsidRPr="0078633D">
        <w:rPr>
          <w:rFonts w:ascii="Times New Roman" w:hAnsi="Times New Roman" w:cs="Times New Roman"/>
          <w:sz w:val="20"/>
          <w:szCs w:val="20"/>
        </w:rPr>
        <w:t xml:space="preserve"> values of the variables. Sinc</w:t>
      </w:r>
      <w:r w:rsidR="00112B25" w:rsidRPr="0078633D">
        <w:rPr>
          <w:rFonts w:ascii="Times New Roman" w:hAnsi="Times New Roman" w:cs="Times New Roman"/>
          <w:sz w:val="20"/>
          <w:szCs w:val="20"/>
        </w:rPr>
        <w:t>e I use annual data, the lagged</w:t>
      </w:r>
      <w:r w:rsidR="002D00E9" w:rsidRPr="0078633D">
        <w:rPr>
          <w:rFonts w:ascii="Times New Roman" w:hAnsi="Times New Roman" w:cs="Times New Roman"/>
          <w:sz w:val="20"/>
          <w:szCs w:val="20"/>
        </w:rPr>
        <w:t xml:space="preserve"> values are technically identical to </w:t>
      </w:r>
      <w:r w:rsidR="003F3D39" w:rsidRPr="0078633D">
        <w:rPr>
          <w:rFonts w:ascii="Times New Roman" w:hAnsi="Times New Roman" w:cs="Times New Roman"/>
          <w:sz w:val="20"/>
          <w:szCs w:val="20"/>
        </w:rPr>
        <w:t>the values one year prior to the contemporaneous year.</w:t>
      </w:r>
      <w:r w:rsidR="00B9031F" w:rsidRPr="0078633D">
        <w:rPr>
          <w:rFonts w:ascii="Times New Roman" w:hAnsi="Times New Roman" w:cs="Times New Roman"/>
          <w:sz w:val="20"/>
          <w:szCs w:val="20"/>
        </w:rPr>
        <w:t xml:space="preserve"> Accordingly, a proxy model results:</w:t>
      </w:r>
    </w:p>
    <w:p w:rsidR="0078633D" w:rsidRPr="0078633D" w:rsidRDefault="00FC1B4D" w:rsidP="0078633D">
      <w:pPr>
        <w:tabs>
          <w:tab w:val="left" w:pos="9000"/>
        </w:tabs>
        <w:spacing w:after="0" w:line="480" w:lineRule="auto"/>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it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γ</m:t>
              </m:r>
            </m:e>
            <m:sub>
              <m:r>
                <w:rPr>
                  <w:rFonts w:ascii="Cambria Math" w:hAnsi="Cambria Math" w:cs="Times New Roman"/>
                  <w:sz w:val="20"/>
                  <w:szCs w:val="20"/>
                </w:rPr>
                <m:t>0</m:t>
              </m:r>
            </m:sub>
          </m:sSub>
          <m:sSub>
            <m:sSubPr>
              <m:ctrlPr>
                <w:rPr>
                  <w:rFonts w:ascii="Cambria Math" w:hAnsi="Cambria Math" w:cs="Times New Roman"/>
                  <w:i/>
                  <w:sz w:val="20"/>
                  <w:szCs w:val="20"/>
                </w:rPr>
              </m:ctrlPr>
            </m:sSubPr>
            <m:e>
              <m:r>
                <w:rPr>
                  <w:rFonts w:ascii="Cambria Math" w:hAnsi="Cambria Math" w:cs="Times New Roman"/>
                  <w:sz w:val="20"/>
                  <w:szCs w:val="20"/>
                </w:rPr>
                <m:t>+γ</m:t>
              </m:r>
            </m:e>
            <m:sub>
              <m:r>
                <w:rPr>
                  <w:rFonts w:ascii="Cambria Math" w:hAnsi="Cambria Math" w:cs="Times New Roman"/>
                  <w:sz w:val="20"/>
                  <w:szCs w:val="20"/>
                </w:rPr>
                <m:t>1</m:t>
              </m:r>
            </m:sub>
          </m:sSub>
          <m:sSub>
            <m:sSubPr>
              <m:ctrlPr>
                <w:rPr>
                  <w:rFonts w:ascii="Cambria Math" w:hAnsi="Cambria Math" w:cs="Times New Roman"/>
                  <w:i/>
                  <w:sz w:val="20"/>
                  <w:szCs w:val="20"/>
                </w:rPr>
              </m:ctrlPr>
            </m:sSubPr>
            <m:e>
              <m:r>
                <w:rPr>
                  <w:rFonts w:ascii="Cambria Math" w:hAnsi="Cambria Math" w:cs="Times New Roman"/>
                  <w:sz w:val="20"/>
                  <w:szCs w:val="20"/>
                </w:rPr>
                <m:t>GiE</m:t>
              </m:r>
            </m:e>
            <m:sub>
              <m:r>
                <w:rPr>
                  <w:rFonts w:ascii="Cambria Math" w:hAnsi="Cambria Math" w:cs="Times New Roman"/>
                  <w:sz w:val="20"/>
                  <w:szCs w:val="20"/>
                </w:rPr>
                <m:t>i,t-1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γ</m:t>
              </m:r>
            </m:e>
            <m:sub>
              <m:r>
                <w:rPr>
                  <w:rFonts w:ascii="Cambria Math" w:hAnsi="Cambria Math" w:cs="Times New Roman"/>
                  <w:sz w:val="20"/>
                  <w:szCs w:val="20"/>
                </w:rPr>
                <m:t>2</m:t>
              </m:r>
            </m:sub>
          </m:sSub>
          <m:sSub>
            <m:sSubPr>
              <m:ctrlPr>
                <w:rPr>
                  <w:rFonts w:ascii="Cambria Math" w:hAnsi="Cambria Math" w:cs="Times New Roman"/>
                  <w:i/>
                  <w:sz w:val="20"/>
                  <w:szCs w:val="20"/>
                </w:rPr>
              </m:ctrlPr>
            </m:sSubPr>
            <m:e>
              <m:r>
                <w:rPr>
                  <w:rFonts w:ascii="Cambria Math" w:hAnsi="Cambria Math" w:cs="Times New Roman"/>
                  <w:sz w:val="20"/>
                  <w:szCs w:val="20"/>
                </w:rPr>
                <m:t>ROE</m:t>
              </m:r>
            </m:e>
            <m:sub>
              <m:r>
                <w:rPr>
                  <w:rFonts w:ascii="Cambria Math" w:hAnsi="Cambria Math" w:cs="Times New Roman"/>
                  <w:sz w:val="20"/>
                  <w:szCs w:val="20"/>
                </w:rPr>
                <m:t>i,t-1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γ</m:t>
              </m:r>
            </m:e>
            <m:sub>
              <m:r>
                <w:rPr>
                  <w:rFonts w:ascii="Cambria Math" w:hAnsi="Cambria Math" w:cs="Times New Roman"/>
                  <w:sz w:val="20"/>
                  <w:szCs w:val="20"/>
                </w:rPr>
                <m:t>3</m:t>
              </m:r>
            </m:sub>
          </m:sSub>
          <m:sSub>
            <m:sSubPr>
              <m:ctrlPr>
                <w:rPr>
                  <w:rFonts w:ascii="Cambria Math" w:hAnsi="Cambria Math" w:cs="Times New Roman"/>
                  <w:i/>
                  <w:sz w:val="20"/>
                  <w:szCs w:val="20"/>
                </w:rPr>
              </m:ctrlPr>
            </m:sSubPr>
            <m:e>
              <m:f>
                <m:fPr>
                  <m:ctrlPr>
                    <w:rPr>
                      <w:rFonts w:ascii="Cambria Math" w:hAnsi="Cambria Math" w:cs="Times New Roman"/>
                      <w:i/>
                      <w:sz w:val="20"/>
                      <w:szCs w:val="20"/>
                    </w:rPr>
                  </m:ctrlPr>
                </m:fPr>
                <m:num>
                  <m:r>
                    <w:rPr>
                      <w:rFonts w:ascii="Cambria Math" w:hAnsi="Cambria Math" w:cs="Times New Roman"/>
                      <w:sz w:val="20"/>
                      <w:szCs w:val="20"/>
                    </w:rPr>
                    <m:t>P</m:t>
                  </m:r>
                </m:num>
                <m:den>
                  <m:r>
                    <w:rPr>
                      <w:rFonts w:ascii="Cambria Math" w:hAnsi="Cambria Math" w:cs="Times New Roman"/>
                      <w:sz w:val="20"/>
                      <w:szCs w:val="20"/>
                    </w:rPr>
                    <m:t>B</m:t>
                  </m:r>
                </m:den>
              </m:f>
            </m:e>
            <m:sub>
              <m:r>
                <w:rPr>
                  <w:rFonts w:ascii="Cambria Math" w:hAnsi="Cambria Math" w:cs="Times New Roman"/>
                  <w:sz w:val="20"/>
                  <w:szCs w:val="20"/>
                </w:rPr>
                <m:t>i,t-1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γ</m:t>
              </m:r>
            </m:e>
            <m:sub>
              <m:r>
                <w:rPr>
                  <w:rFonts w:ascii="Cambria Math" w:hAnsi="Cambria Math" w:cs="Times New Roman"/>
                  <w:sz w:val="20"/>
                  <w:szCs w:val="20"/>
                </w:rPr>
                <m:t>4</m:t>
              </m:r>
            </m:sub>
          </m:sSub>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i,t-1</m:t>
              </m:r>
            </m:sub>
          </m:sSub>
        </m:oMath>
      </m:oMathPara>
    </w:p>
    <w:p w:rsidR="00616726" w:rsidRPr="0078633D" w:rsidRDefault="00E0193B" w:rsidP="0078633D">
      <w:pPr>
        <w:tabs>
          <w:tab w:val="left" w:pos="9000"/>
        </w:tabs>
        <w:spacing w:after="0" w:line="480" w:lineRule="auto"/>
        <w:ind w:left="2880"/>
        <w:rPr>
          <w:rFonts w:ascii="Times New Roman" w:hAnsi="Times New Roman" w:cs="Times New Roman"/>
          <w:sz w:val="20"/>
          <w:szCs w:val="20"/>
        </w:rPr>
      </w:pPr>
      <m:oMath>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Firm Fixed Effects</m:t>
            </m:r>
          </m:e>
          <m:sub>
            <m:r>
              <w:rPr>
                <w:rFonts w:ascii="Cambria Math" w:hAnsi="Cambria Math" w:cs="Times New Roman"/>
                <w:sz w:val="20"/>
                <w:szCs w:val="20"/>
              </w:rPr>
              <m:t>i</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Time Fixed Effects</m:t>
            </m:r>
          </m:e>
          <m:sub>
            <m:r>
              <w:rPr>
                <w:rFonts w:ascii="Cambria Math" w:hAnsi="Cambria Math" w:cs="Times New Roman"/>
                <w:sz w:val="20"/>
                <w:szCs w:val="20"/>
              </w:rPr>
              <m:t>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e</m:t>
            </m:r>
          </m:e>
          <m:sub>
            <m:r>
              <w:rPr>
                <w:rFonts w:ascii="Cambria Math" w:hAnsi="Cambria Math" w:cs="Times New Roman"/>
                <w:sz w:val="20"/>
                <w:szCs w:val="20"/>
              </w:rPr>
              <m:t>it</m:t>
            </m:r>
          </m:sub>
        </m:sSub>
      </m:oMath>
      <w:r w:rsidR="00616726" w:rsidRPr="0078633D">
        <w:rPr>
          <w:rFonts w:ascii="Times New Roman" w:hAnsi="Times New Roman" w:cs="Times New Roman"/>
          <w:sz w:val="20"/>
          <w:szCs w:val="20"/>
        </w:rPr>
        <w:t xml:space="preserve"> </w:t>
      </w:r>
      <w:r w:rsidR="00616726" w:rsidRPr="0078633D">
        <w:rPr>
          <w:rFonts w:ascii="Times New Roman" w:hAnsi="Times New Roman" w:cs="Times New Roman"/>
          <w:sz w:val="20"/>
          <w:szCs w:val="20"/>
        </w:rPr>
        <w:tab/>
        <w:t>(3)</w:t>
      </w:r>
    </w:p>
    <w:p w:rsidR="00A75E4A" w:rsidRPr="0078633D" w:rsidRDefault="00B9031F" w:rsidP="0078633D">
      <w:pPr>
        <w:tabs>
          <w:tab w:val="left" w:pos="9000"/>
        </w:tabs>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where all the variables are as defined in Equation (1) except that th</w:t>
      </w:r>
      <w:r w:rsidR="0078633D">
        <w:rPr>
          <w:rFonts w:ascii="Times New Roman" w:hAnsi="Times New Roman" w:cs="Times New Roman"/>
          <w:sz w:val="20"/>
          <w:szCs w:val="20"/>
        </w:rPr>
        <w:t>e independent variables lag the</w:t>
      </w:r>
      <w:r w:rsidR="0078633D">
        <w:rPr>
          <w:rFonts w:ascii="Times New Roman" w:hAnsi="Times New Roman" w:cs="Times New Roman" w:hint="eastAsia"/>
          <w:sz w:val="20"/>
          <w:szCs w:val="20"/>
        </w:rPr>
        <w:t xml:space="preserve"> </w:t>
      </w:r>
      <w:r w:rsidRPr="0078633D">
        <w:rPr>
          <w:rFonts w:ascii="Times New Roman" w:hAnsi="Times New Roman" w:cs="Times New Roman"/>
          <w:sz w:val="20"/>
          <w:szCs w:val="20"/>
        </w:rPr>
        <w:t xml:space="preserve">dependent variable by one year. </w:t>
      </w:r>
      <w:r w:rsidR="003F3D39" w:rsidRPr="0078633D">
        <w:rPr>
          <w:rFonts w:ascii="Times New Roman" w:hAnsi="Times New Roman" w:cs="Times New Roman"/>
          <w:sz w:val="20"/>
          <w:szCs w:val="20"/>
        </w:rPr>
        <w:t xml:space="preserve"> </w:t>
      </w:r>
    </w:p>
    <w:p w:rsidR="00170FED" w:rsidRPr="0078633D" w:rsidRDefault="00B64AE0"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5</w:t>
      </w:r>
      <w:r w:rsidR="00F0751B" w:rsidRPr="0078633D">
        <w:rPr>
          <w:rFonts w:ascii="Times New Roman" w:hAnsi="Times New Roman" w:cs="Times New Roman"/>
          <w:sz w:val="20"/>
          <w:szCs w:val="20"/>
        </w:rPr>
        <w:t xml:space="preserve"> presents the two</w:t>
      </w:r>
      <w:r w:rsidR="009C30CE" w:rsidRPr="0078633D">
        <w:rPr>
          <w:rFonts w:ascii="Times New Roman" w:hAnsi="Times New Roman" w:cs="Times New Roman"/>
          <w:sz w:val="20"/>
          <w:szCs w:val="20"/>
        </w:rPr>
        <w:t xml:space="preserve"> sets of</w:t>
      </w:r>
      <w:r w:rsidR="00F0751B" w:rsidRPr="0078633D">
        <w:rPr>
          <w:rFonts w:ascii="Times New Roman" w:hAnsi="Times New Roman" w:cs="Times New Roman"/>
          <w:sz w:val="20"/>
          <w:szCs w:val="20"/>
        </w:rPr>
        <w:t xml:space="preserve"> panel</w:t>
      </w:r>
      <w:r w:rsidR="009C30CE" w:rsidRPr="0078633D">
        <w:rPr>
          <w:rFonts w:ascii="Times New Roman" w:hAnsi="Times New Roman" w:cs="Times New Roman"/>
          <w:sz w:val="20"/>
          <w:szCs w:val="20"/>
        </w:rPr>
        <w:t xml:space="preserve"> regression results from estimating the equation (2)</w:t>
      </w:r>
      <w:r w:rsidR="00F0751B" w:rsidRPr="0078633D">
        <w:rPr>
          <w:rFonts w:ascii="Times New Roman" w:hAnsi="Times New Roman" w:cs="Times New Roman"/>
          <w:sz w:val="20"/>
          <w:szCs w:val="20"/>
        </w:rPr>
        <w:t xml:space="preserve"> and its modification</w:t>
      </w:r>
      <w:r w:rsidR="009C30CE" w:rsidRPr="0078633D">
        <w:rPr>
          <w:rFonts w:ascii="Times New Roman" w:hAnsi="Times New Roman" w:cs="Times New Roman"/>
          <w:sz w:val="20"/>
          <w:szCs w:val="20"/>
        </w:rPr>
        <w:t>.</w:t>
      </w:r>
      <w:r w:rsidR="00A75E4A" w:rsidRPr="0078633D">
        <w:rPr>
          <w:rFonts w:ascii="Times New Roman" w:hAnsi="Times New Roman" w:cs="Times New Roman"/>
          <w:sz w:val="20"/>
          <w:szCs w:val="20"/>
        </w:rPr>
        <w:t xml:space="preserve"> </w:t>
      </w:r>
      <w:r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5</w:t>
      </w:r>
      <w:r w:rsidR="00F0751B" w:rsidRPr="0078633D">
        <w:rPr>
          <w:rFonts w:ascii="Times New Roman" w:hAnsi="Times New Roman" w:cs="Times New Roman"/>
          <w:sz w:val="20"/>
          <w:szCs w:val="20"/>
        </w:rPr>
        <w:t xml:space="preserve"> is different from </w:t>
      </w:r>
      <w:r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4</w:t>
      </w:r>
      <w:r w:rsidR="00F0751B" w:rsidRPr="0078633D">
        <w:rPr>
          <w:rFonts w:ascii="Times New Roman" w:hAnsi="Times New Roman" w:cs="Times New Roman"/>
          <w:sz w:val="20"/>
          <w:szCs w:val="20"/>
        </w:rPr>
        <w:t xml:space="preserve"> in two aspects: 1) T</w:t>
      </w:r>
      <w:r w:rsidR="00A75E4A" w:rsidRPr="0078633D">
        <w:rPr>
          <w:rFonts w:ascii="Times New Roman" w:hAnsi="Times New Roman" w:cs="Times New Roman"/>
          <w:sz w:val="20"/>
          <w:szCs w:val="20"/>
        </w:rPr>
        <w:t>he regressions</w:t>
      </w:r>
      <w:r w:rsidR="00F0751B" w:rsidRPr="0078633D">
        <w:rPr>
          <w:rFonts w:ascii="Times New Roman" w:hAnsi="Times New Roman" w:cs="Times New Roman"/>
          <w:sz w:val="20"/>
          <w:szCs w:val="20"/>
        </w:rPr>
        <w:t xml:space="preserve"> in </w:t>
      </w:r>
      <w:r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5</w:t>
      </w:r>
      <w:r w:rsidR="00F0751B" w:rsidRPr="0078633D">
        <w:rPr>
          <w:rFonts w:ascii="Times New Roman" w:hAnsi="Times New Roman" w:cs="Times New Roman"/>
          <w:sz w:val="20"/>
          <w:szCs w:val="20"/>
        </w:rPr>
        <w:t xml:space="preserve"> use the </w:t>
      </w:r>
      <w:r w:rsidR="00673B08" w:rsidRPr="0078633D">
        <w:rPr>
          <w:rFonts w:ascii="Times New Roman" w:hAnsi="Times New Roman" w:cs="Times New Roman"/>
          <w:sz w:val="20"/>
          <w:szCs w:val="20"/>
        </w:rPr>
        <w:t>independent variables</w:t>
      </w:r>
      <w:r w:rsidR="00F0751B" w:rsidRPr="0078633D">
        <w:rPr>
          <w:rFonts w:ascii="Times New Roman" w:hAnsi="Times New Roman" w:cs="Times New Roman"/>
          <w:sz w:val="20"/>
          <w:szCs w:val="20"/>
        </w:rPr>
        <w:t xml:space="preserve"> measured</w:t>
      </w:r>
      <w:r w:rsidR="00673B08" w:rsidRPr="0078633D">
        <w:rPr>
          <w:rFonts w:ascii="Times New Roman" w:hAnsi="Times New Roman" w:cs="Times New Roman"/>
          <w:sz w:val="20"/>
          <w:szCs w:val="20"/>
        </w:rPr>
        <w:t xml:space="preserve"> one year prior to the contemporaneous year</w:t>
      </w:r>
      <w:r w:rsidR="00F0751B" w:rsidRPr="0078633D">
        <w:rPr>
          <w:rFonts w:ascii="Times New Roman" w:hAnsi="Times New Roman" w:cs="Times New Roman"/>
          <w:sz w:val="20"/>
          <w:szCs w:val="20"/>
        </w:rPr>
        <w:t xml:space="preserve"> in which the dependent variable is measured; 2) The second panel regression in </w:t>
      </w:r>
      <w:r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5</w:t>
      </w:r>
      <w:r w:rsidR="00F0751B" w:rsidRPr="0078633D">
        <w:rPr>
          <w:rFonts w:ascii="Times New Roman" w:hAnsi="Times New Roman" w:cs="Times New Roman"/>
          <w:sz w:val="20"/>
          <w:szCs w:val="20"/>
        </w:rPr>
        <w:t xml:space="preserve"> includes an additional independent variable, the lagged term of total stock return</w:t>
      </w:r>
      <w:r w:rsidR="0027566D" w:rsidRPr="0078633D">
        <w:rPr>
          <w:rFonts w:ascii="Times New Roman" w:hAnsi="Times New Roman" w:cs="Times New Roman"/>
          <w:sz w:val="20"/>
          <w:szCs w:val="20"/>
        </w:rPr>
        <w:t>. I add it to the first regression</w:t>
      </w:r>
      <w:r w:rsidR="00F0751B" w:rsidRPr="0078633D">
        <w:rPr>
          <w:rFonts w:ascii="Times New Roman" w:hAnsi="Times New Roman" w:cs="Times New Roman"/>
          <w:sz w:val="20"/>
          <w:szCs w:val="20"/>
        </w:rPr>
        <w:t xml:space="preserve"> to address the </w:t>
      </w:r>
      <w:r w:rsidR="0027566D" w:rsidRPr="0078633D">
        <w:rPr>
          <w:rFonts w:ascii="Times New Roman" w:hAnsi="Times New Roman" w:cs="Times New Roman"/>
          <w:sz w:val="20"/>
          <w:szCs w:val="20"/>
        </w:rPr>
        <w:t xml:space="preserve">previously mentioned </w:t>
      </w:r>
      <w:r w:rsidR="00F0751B" w:rsidRPr="0078633D">
        <w:rPr>
          <w:rFonts w:ascii="Times New Roman" w:hAnsi="Times New Roman" w:cs="Times New Roman"/>
          <w:sz w:val="20"/>
          <w:szCs w:val="20"/>
        </w:rPr>
        <w:t xml:space="preserve">concern that ΔPB and the dependent variable might represent the identical information and their seemingly strong relation found in the contemporaneous analysis </w:t>
      </w:r>
      <w:r w:rsidR="0027566D" w:rsidRPr="0078633D">
        <w:rPr>
          <w:rFonts w:ascii="Times New Roman" w:hAnsi="Times New Roman" w:cs="Times New Roman"/>
          <w:sz w:val="20"/>
          <w:szCs w:val="20"/>
        </w:rPr>
        <w:t>may be the manifestation of the resulting confounding effect</w:t>
      </w:r>
      <w:r w:rsidR="00673B08" w:rsidRPr="0078633D">
        <w:rPr>
          <w:rFonts w:ascii="Times New Roman" w:hAnsi="Times New Roman" w:cs="Times New Roman"/>
          <w:sz w:val="20"/>
          <w:szCs w:val="20"/>
        </w:rPr>
        <w:t>. Despite little difference in form</w:t>
      </w:r>
      <w:r w:rsidR="0027566D" w:rsidRPr="0078633D">
        <w:rPr>
          <w:rFonts w:ascii="Times New Roman" w:hAnsi="Times New Roman" w:cs="Times New Roman"/>
          <w:sz w:val="20"/>
          <w:szCs w:val="20"/>
        </w:rPr>
        <w:t xml:space="preserve">at, differences in outcomes are </w:t>
      </w:r>
      <w:r w:rsidR="00673B08" w:rsidRPr="0078633D">
        <w:rPr>
          <w:rFonts w:ascii="Times New Roman" w:hAnsi="Times New Roman" w:cs="Times New Roman"/>
          <w:sz w:val="20"/>
          <w:szCs w:val="20"/>
        </w:rPr>
        <w:t>striking. The most noticeable contrast is the signs of the variable coefficients</w:t>
      </w:r>
      <w:r w:rsidR="0027566D" w:rsidRPr="0078633D">
        <w:rPr>
          <w:rFonts w:ascii="Times New Roman" w:hAnsi="Times New Roman" w:cs="Times New Roman"/>
          <w:sz w:val="20"/>
          <w:szCs w:val="20"/>
        </w:rPr>
        <w:t xml:space="preserve"> of ROE and P/B</w:t>
      </w:r>
      <w:r w:rsidR="00673B08" w:rsidRPr="0078633D">
        <w:rPr>
          <w:rFonts w:ascii="Times New Roman" w:hAnsi="Times New Roman" w:cs="Times New Roman"/>
          <w:sz w:val="20"/>
          <w:szCs w:val="20"/>
        </w:rPr>
        <w:t xml:space="preserve">. </w:t>
      </w:r>
      <w:r w:rsidR="00112B25" w:rsidRPr="0078633D">
        <w:rPr>
          <w:rFonts w:ascii="Times New Roman" w:hAnsi="Times New Roman" w:cs="Times New Roman"/>
          <w:sz w:val="20"/>
          <w:szCs w:val="20"/>
        </w:rPr>
        <w:t xml:space="preserve">For the two panel </w:t>
      </w:r>
      <w:r w:rsidR="00732803" w:rsidRPr="0078633D">
        <w:rPr>
          <w:rFonts w:ascii="Times New Roman" w:hAnsi="Times New Roman" w:cs="Times New Roman"/>
          <w:sz w:val="20"/>
          <w:szCs w:val="20"/>
        </w:rPr>
        <w:t xml:space="preserve">regressions and across the four market indexes, the signs of </w:t>
      </w:r>
      <w:r w:rsidR="0027566D" w:rsidRPr="0078633D">
        <w:rPr>
          <w:rFonts w:ascii="Times New Roman" w:hAnsi="Times New Roman" w:cs="Times New Roman"/>
          <w:sz w:val="20"/>
          <w:szCs w:val="20"/>
        </w:rPr>
        <w:t xml:space="preserve">the two </w:t>
      </w:r>
      <w:r w:rsidR="00732803" w:rsidRPr="0078633D">
        <w:rPr>
          <w:rFonts w:ascii="Times New Roman" w:hAnsi="Times New Roman" w:cs="Times New Roman"/>
          <w:sz w:val="20"/>
          <w:szCs w:val="20"/>
        </w:rPr>
        <w:t>variable coefficients are all opposite</w:t>
      </w:r>
      <w:r w:rsidR="009A4D64" w:rsidRPr="0078633D">
        <w:rPr>
          <w:rFonts w:ascii="Times New Roman" w:hAnsi="Times New Roman" w:cs="Times New Roman"/>
          <w:sz w:val="20"/>
          <w:szCs w:val="20"/>
        </w:rPr>
        <w:t xml:space="preserve"> to the ones reported in </w:t>
      </w:r>
      <w:r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4</w:t>
      </w:r>
      <w:r w:rsidR="0027566D" w:rsidRPr="0078633D">
        <w:rPr>
          <w:rFonts w:ascii="Times New Roman" w:hAnsi="Times New Roman" w:cs="Times New Roman"/>
          <w:sz w:val="20"/>
          <w:szCs w:val="20"/>
        </w:rPr>
        <w:t>. The coefficients of ROE</w:t>
      </w:r>
      <w:r w:rsidR="0027566D" w:rsidRPr="0078633D">
        <w:rPr>
          <w:rFonts w:ascii="Times New Roman" w:hAnsi="Times New Roman" w:cs="Times New Roman"/>
          <w:sz w:val="20"/>
          <w:szCs w:val="20"/>
          <w:vertAlign w:val="subscript"/>
        </w:rPr>
        <w:t>t-1</w:t>
      </w:r>
      <w:r w:rsidR="00170FED" w:rsidRPr="0078633D">
        <w:rPr>
          <w:rFonts w:ascii="Times New Roman" w:hAnsi="Times New Roman" w:cs="Times New Roman"/>
          <w:sz w:val="20"/>
          <w:szCs w:val="20"/>
        </w:rPr>
        <w:t xml:space="preserve"> for the S&amp;P 1500</w:t>
      </w:r>
      <w:r w:rsidR="0027566D" w:rsidRPr="0078633D">
        <w:rPr>
          <w:rFonts w:ascii="Times New Roman" w:hAnsi="Times New Roman" w:cs="Times New Roman"/>
          <w:sz w:val="20"/>
          <w:szCs w:val="20"/>
        </w:rPr>
        <w:t xml:space="preserve"> are 0.</w:t>
      </w:r>
      <w:r w:rsidR="00170FED" w:rsidRPr="0078633D">
        <w:rPr>
          <w:rFonts w:ascii="Times New Roman" w:hAnsi="Times New Roman" w:cs="Times New Roman"/>
          <w:sz w:val="20"/>
          <w:szCs w:val="20"/>
        </w:rPr>
        <w:t>3412</w:t>
      </w:r>
      <w:r w:rsidR="0027566D" w:rsidRPr="0078633D">
        <w:rPr>
          <w:rFonts w:ascii="Times New Roman" w:hAnsi="Times New Roman" w:cs="Times New Roman"/>
          <w:sz w:val="20"/>
          <w:szCs w:val="20"/>
        </w:rPr>
        <w:t xml:space="preserve"> and 0.</w:t>
      </w:r>
      <w:r w:rsidR="00170FED" w:rsidRPr="0078633D">
        <w:rPr>
          <w:rFonts w:ascii="Times New Roman" w:hAnsi="Times New Roman" w:cs="Times New Roman"/>
          <w:sz w:val="20"/>
          <w:szCs w:val="20"/>
        </w:rPr>
        <w:t>2599</w:t>
      </w:r>
      <w:r w:rsidR="00A95ECF" w:rsidRPr="0078633D">
        <w:rPr>
          <w:rFonts w:ascii="Times New Roman" w:hAnsi="Times New Roman" w:cs="Times New Roman"/>
          <w:sz w:val="20"/>
          <w:szCs w:val="20"/>
        </w:rPr>
        <w:t xml:space="preserve"> and significant at the 1</w:t>
      </w:r>
      <w:r w:rsidR="0027566D" w:rsidRPr="0078633D">
        <w:rPr>
          <w:rFonts w:ascii="Times New Roman" w:hAnsi="Times New Roman" w:cs="Times New Roman"/>
          <w:sz w:val="20"/>
          <w:szCs w:val="20"/>
        </w:rPr>
        <w:t xml:space="preserve">% </w:t>
      </w:r>
      <w:r w:rsidR="00A95ECF" w:rsidRPr="0078633D">
        <w:rPr>
          <w:rFonts w:ascii="Times New Roman" w:hAnsi="Times New Roman" w:cs="Times New Roman"/>
          <w:sz w:val="20"/>
          <w:szCs w:val="20"/>
        </w:rPr>
        <w:t xml:space="preserve">level. </w:t>
      </w:r>
      <w:r w:rsidR="00170FED" w:rsidRPr="0078633D">
        <w:rPr>
          <w:rFonts w:ascii="Times New Roman" w:hAnsi="Times New Roman" w:cs="Times New Roman"/>
          <w:sz w:val="20"/>
          <w:szCs w:val="20"/>
        </w:rPr>
        <w:t>They are</w:t>
      </w:r>
      <w:r w:rsidR="00A95ECF" w:rsidRPr="0078633D">
        <w:rPr>
          <w:rFonts w:ascii="Times New Roman" w:hAnsi="Times New Roman" w:cs="Times New Roman"/>
          <w:sz w:val="20"/>
          <w:szCs w:val="20"/>
        </w:rPr>
        <w:t xml:space="preserve"> </w:t>
      </w:r>
      <w:r w:rsidR="0027566D" w:rsidRPr="0078633D">
        <w:rPr>
          <w:rFonts w:ascii="Times New Roman" w:hAnsi="Times New Roman" w:cs="Times New Roman"/>
          <w:sz w:val="20"/>
          <w:szCs w:val="20"/>
        </w:rPr>
        <w:t>nega</w:t>
      </w:r>
      <w:r w:rsidR="00A95ECF" w:rsidRPr="0078633D">
        <w:rPr>
          <w:rFonts w:ascii="Times New Roman" w:hAnsi="Times New Roman" w:cs="Times New Roman"/>
          <w:sz w:val="20"/>
          <w:szCs w:val="20"/>
        </w:rPr>
        <w:t>tive and significant in</w:t>
      </w:r>
      <w:r w:rsidR="0027566D" w:rsidRPr="0078633D">
        <w:rPr>
          <w:rFonts w:ascii="Times New Roman" w:hAnsi="Times New Roman" w:cs="Times New Roman"/>
          <w:sz w:val="20"/>
          <w:szCs w:val="20"/>
        </w:rPr>
        <w:t xml:space="preserve"> the contemporaneous analysis. The P/B</w:t>
      </w:r>
      <w:r w:rsidR="0027566D" w:rsidRPr="0078633D">
        <w:rPr>
          <w:rFonts w:ascii="Times New Roman" w:hAnsi="Times New Roman" w:cs="Times New Roman"/>
          <w:sz w:val="20"/>
          <w:szCs w:val="20"/>
          <w:vertAlign w:val="subscript"/>
        </w:rPr>
        <w:t>t-1</w:t>
      </w:r>
      <w:r w:rsidR="00A95ECF" w:rsidRPr="0078633D">
        <w:rPr>
          <w:rFonts w:ascii="Times New Roman" w:hAnsi="Times New Roman" w:cs="Times New Roman"/>
          <w:sz w:val="20"/>
          <w:szCs w:val="20"/>
        </w:rPr>
        <w:t xml:space="preserve"> coefficient</w:t>
      </w:r>
      <w:r w:rsidR="0027566D" w:rsidRPr="0078633D">
        <w:rPr>
          <w:rFonts w:ascii="Times New Roman" w:hAnsi="Times New Roman" w:cs="Times New Roman"/>
          <w:sz w:val="20"/>
          <w:szCs w:val="20"/>
        </w:rPr>
        <w:t>s</w:t>
      </w:r>
      <w:r w:rsidR="00A95ECF" w:rsidRPr="0078633D">
        <w:rPr>
          <w:rFonts w:ascii="Times New Roman" w:hAnsi="Times New Roman" w:cs="Times New Roman"/>
          <w:sz w:val="20"/>
          <w:szCs w:val="20"/>
        </w:rPr>
        <w:t xml:space="preserve"> of </w:t>
      </w:r>
      <w:r w:rsidR="0027566D" w:rsidRPr="0078633D">
        <w:rPr>
          <w:rFonts w:ascii="Times New Roman" w:hAnsi="Times New Roman" w:cs="Times New Roman"/>
          <w:sz w:val="20"/>
          <w:szCs w:val="20"/>
        </w:rPr>
        <w:t>-0.00276 and -0.0251 are</w:t>
      </w:r>
      <w:r w:rsidR="00B00BDB" w:rsidRPr="0078633D">
        <w:rPr>
          <w:rFonts w:ascii="Times New Roman" w:hAnsi="Times New Roman" w:cs="Times New Roman"/>
          <w:sz w:val="20"/>
          <w:szCs w:val="20"/>
        </w:rPr>
        <w:t xml:space="preserve"> well contrasted with the P/B coefficient</w:t>
      </w:r>
      <w:r w:rsidR="0027566D" w:rsidRPr="0078633D">
        <w:rPr>
          <w:rFonts w:ascii="Times New Roman" w:hAnsi="Times New Roman" w:cs="Times New Roman"/>
          <w:sz w:val="20"/>
          <w:szCs w:val="20"/>
        </w:rPr>
        <w:t>s of 0.0763 and 0.0597</w:t>
      </w:r>
      <w:r w:rsidR="00170FED" w:rsidRPr="0078633D">
        <w:rPr>
          <w:rFonts w:ascii="Times New Roman" w:hAnsi="Times New Roman" w:cs="Times New Roman"/>
          <w:sz w:val="20"/>
          <w:szCs w:val="20"/>
        </w:rPr>
        <w:t xml:space="preserve"> for the same index in </w:t>
      </w:r>
      <w:r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4</w:t>
      </w:r>
      <w:r w:rsidR="00B00BDB" w:rsidRPr="0078633D">
        <w:rPr>
          <w:rFonts w:ascii="Times New Roman" w:hAnsi="Times New Roman" w:cs="Times New Roman"/>
          <w:sz w:val="20"/>
          <w:szCs w:val="20"/>
        </w:rPr>
        <w:t>.</w:t>
      </w:r>
    </w:p>
    <w:p w:rsidR="00B64AE0" w:rsidRPr="0078633D" w:rsidRDefault="006B77AC" w:rsidP="00612DE5">
      <w:pPr>
        <w:spacing w:after="0" w:line="480" w:lineRule="auto"/>
        <w:ind w:firstLine="426"/>
        <w:jc w:val="center"/>
        <w:rPr>
          <w:rFonts w:ascii="Times New Roman" w:hAnsi="Times New Roman" w:cs="Times New Roman"/>
          <w:sz w:val="20"/>
          <w:szCs w:val="20"/>
        </w:rPr>
      </w:pPr>
      <w:r w:rsidRPr="0078633D">
        <w:rPr>
          <w:rFonts w:ascii="Times New Roman" w:hAnsi="Times New Roman" w:cs="Times New Roman"/>
          <w:sz w:val="20"/>
          <w:szCs w:val="20"/>
        </w:rPr>
        <w:t>&lt;Insert Table 5</w:t>
      </w:r>
      <w:r w:rsidR="00B64AE0" w:rsidRPr="0078633D">
        <w:rPr>
          <w:rFonts w:ascii="Times New Roman" w:hAnsi="Times New Roman" w:cs="Times New Roman"/>
          <w:sz w:val="20"/>
          <w:szCs w:val="20"/>
        </w:rPr>
        <w:t xml:space="preserve"> here&gt;</w:t>
      </w:r>
    </w:p>
    <w:p w:rsidR="0051360D" w:rsidRPr="0078633D" w:rsidRDefault="00F83F14"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 xml:space="preserve">An imminent question is “what is the implication of the sign reversal?” </w:t>
      </w:r>
      <w:r w:rsidR="00E7069A" w:rsidRPr="0078633D">
        <w:rPr>
          <w:rFonts w:ascii="Times New Roman" w:hAnsi="Times New Roman" w:cs="Times New Roman"/>
          <w:sz w:val="20"/>
          <w:szCs w:val="20"/>
        </w:rPr>
        <w:t xml:space="preserve">From the contemporaneous </w:t>
      </w:r>
      <w:r w:rsidR="003B2D95" w:rsidRPr="0078633D">
        <w:rPr>
          <w:rFonts w:ascii="Times New Roman" w:hAnsi="Times New Roman" w:cs="Times New Roman"/>
          <w:sz w:val="20"/>
          <w:szCs w:val="20"/>
        </w:rPr>
        <w:t xml:space="preserve">panel </w:t>
      </w:r>
      <w:r w:rsidR="00E7069A" w:rsidRPr="0078633D">
        <w:rPr>
          <w:rFonts w:ascii="Times New Roman" w:hAnsi="Times New Roman" w:cs="Times New Roman"/>
          <w:sz w:val="20"/>
          <w:szCs w:val="20"/>
        </w:rPr>
        <w:t xml:space="preserve">regression analysis, we identify </w:t>
      </w:r>
      <w:r w:rsidR="00CD40D5" w:rsidRPr="0078633D">
        <w:rPr>
          <w:rFonts w:ascii="Times New Roman" w:hAnsi="Times New Roman" w:cs="Times New Roman"/>
          <w:sz w:val="20"/>
          <w:szCs w:val="20"/>
        </w:rPr>
        <w:t xml:space="preserve">potential </w:t>
      </w:r>
      <w:r w:rsidR="00E7069A" w:rsidRPr="0078633D">
        <w:rPr>
          <w:rFonts w:ascii="Times New Roman" w:hAnsi="Times New Roman" w:cs="Times New Roman"/>
          <w:sz w:val="20"/>
          <w:szCs w:val="20"/>
        </w:rPr>
        <w:t>lucrative opportunities based on the four value determinants – i.e., the higher (lower) GiE, P/B, and Δ</w:t>
      </w:r>
      <w:r w:rsidR="00416B50" w:rsidRPr="0078633D">
        <w:rPr>
          <w:rFonts w:ascii="Times New Roman" w:hAnsi="Times New Roman" w:cs="Times New Roman"/>
          <w:sz w:val="20"/>
          <w:szCs w:val="20"/>
        </w:rPr>
        <w:t>P</w:t>
      </w:r>
      <w:r w:rsidR="00112B25" w:rsidRPr="0078633D">
        <w:rPr>
          <w:rFonts w:ascii="Times New Roman" w:hAnsi="Times New Roman" w:cs="Times New Roman"/>
          <w:sz w:val="20"/>
          <w:szCs w:val="20"/>
        </w:rPr>
        <w:t xml:space="preserve">B (ROE), the higher </w:t>
      </w:r>
      <w:r w:rsidR="00E7069A" w:rsidRPr="0078633D">
        <w:rPr>
          <w:rFonts w:ascii="Times New Roman" w:hAnsi="Times New Roman" w:cs="Times New Roman"/>
          <w:sz w:val="20"/>
          <w:szCs w:val="20"/>
        </w:rPr>
        <w:t xml:space="preserve">the expected return. </w:t>
      </w:r>
      <w:r w:rsidR="00547B21" w:rsidRPr="0078633D">
        <w:rPr>
          <w:rFonts w:ascii="Times New Roman" w:hAnsi="Times New Roman" w:cs="Times New Roman"/>
          <w:sz w:val="20"/>
          <w:szCs w:val="20"/>
        </w:rPr>
        <w:t xml:space="preserve">Accordingly, we incline to issue a buy </w:t>
      </w:r>
      <w:r w:rsidR="00547B21" w:rsidRPr="0078633D">
        <w:rPr>
          <w:rFonts w:ascii="Times New Roman" w:hAnsi="Times New Roman" w:cs="Times New Roman"/>
          <w:sz w:val="20"/>
          <w:szCs w:val="20"/>
        </w:rPr>
        <w:lastRenderedPageBreak/>
        <w:t>recommendation for stocks with high GiE, P/B, and Δ</w:t>
      </w:r>
      <w:r w:rsidR="00416B50" w:rsidRPr="0078633D">
        <w:rPr>
          <w:rFonts w:ascii="Times New Roman" w:hAnsi="Times New Roman" w:cs="Times New Roman"/>
          <w:sz w:val="20"/>
          <w:szCs w:val="20"/>
        </w:rPr>
        <w:t>P</w:t>
      </w:r>
      <w:r w:rsidR="00547B21" w:rsidRPr="0078633D">
        <w:rPr>
          <w:rFonts w:ascii="Times New Roman" w:hAnsi="Times New Roman" w:cs="Times New Roman"/>
          <w:sz w:val="20"/>
          <w:szCs w:val="20"/>
        </w:rPr>
        <w:t xml:space="preserve">B and/or low ROE. </w:t>
      </w:r>
      <w:r w:rsidR="0051360D" w:rsidRPr="0078633D">
        <w:rPr>
          <w:rFonts w:ascii="Times New Roman" w:hAnsi="Times New Roman" w:cs="Times New Roman"/>
          <w:sz w:val="20"/>
          <w:szCs w:val="20"/>
        </w:rPr>
        <w:t xml:space="preserve">As pointed out previously, </w:t>
      </w:r>
      <w:r w:rsidR="00E7069A" w:rsidRPr="0078633D">
        <w:rPr>
          <w:rFonts w:ascii="Times New Roman" w:hAnsi="Times New Roman" w:cs="Times New Roman"/>
          <w:sz w:val="20"/>
          <w:szCs w:val="20"/>
        </w:rPr>
        <w:t>the</w:t>
      </w:r>
      <w:r w:rsidR="0051360D" w:rsidRPr="0078633D">
        <w:rPr>
          <w:rFonts w:ascii="Times New Roman" w:hAnsi="Times New Roman" w:cs="Times New Roman"/>
          <w:sz w:val="20"/>
          <w:szCs w:val="20"/>
        </w:rPr>
        <w:t>se</w:t>
      </w:r>
      <w:r w:rsidR="00E7069A" w:rsidRPr="0078633D">
        <w:rPr>
          <w:rFonts w:ascii="Times New Roman" w:hAnsi="Times New Roman" w:cs="Times New Roman"/>
          <w:sz w:val="20"/>
          <w:szCs w:val="20"/>
        </w:rPr>
        <w:t xml:space="preserve"> observed associations are based on the assumption that we are able to foresee the future movements </w:t>
      </w:r>
      <w:r w:rsidR="00547B21" w:rsidRPr="0078633D">
        <w:rPr>
          <w:rFonts w:ascii="Times New Roman" w:hAnsi="Times New Roman" w:cs="Times New Roman"/>
          <w:sz w:val="20"/>
          <w:szCs w:val="20"/>
        </w:rPr>
        <w:t>of the value determinants without error.</w:t>
      </w:r>
      <w:r w:rsidR="003B2D95" w:rsidRPr="0078633D">
        <w:rPr>
          <w:rFonts w:ascii="Times New Roman" w:hAnsi="Times New Roman" w:cs="Times New Roman"/>
          <w:sz w:val="20"/>
          <w:szCs w:val="20"/>
        </w:rPr>
        <w:t xml:space="preserve"> W</w:t>
      </w:r>
      <w:r w:rsidR="00547B21" w:rsidRPr="0078633D">
        <w:rPr>
          <w:rFonts w:ascii="Times New Roman" w:hAnsi="Times New Roman" w:cs="Times New Roman"/>
          <w:sz w:val="20"/>
          <w:szCs w:val="20"/>
        </w:rPr>
        <w:t xml:space="preserve">e </w:t>
      </w:r>
      <w:r w:rsidR="003B2D95" w:rsidRPr="0078633D">
        <w:rPr>
          <w:rFonts w:ascii="Times New Roman" w:hAnsi="Times New Roman" w:cs="Times New Roman"/>
          <w:sz w:val="20"/>
          <w:szCs w:val="20"/>
        </w:rPr>
        <w:t xml:space="preserve">now </w:t>
      </w:r>
      <w:r w:rsidR="00547B21" w:rsidRPr="0078633D">
        <w:rPr>
          <w:rFonts w:ascii="Times New Roman" w:hAnsi="Times New Roman" w:cs="Times New Roman"/>
          <w:sz w:val="20"/>
          <w:szCs w:val="20"/>
        </w:rPr>
        <w:t xml:space="preserve">encounter a </w:t>
      </w:r>
      <w:r w:rsidR="003B2D95" w:rsidRPr="0078633D">
        <w:rPr>
          <w:rFonts w:ascii="Times New Roman" w:hAnsi="Times New Roman" w:cs="Times New Roman"/>
          <w:sz w:val="20"/>
          <w:szCs w:val="20"/>
        </w:rPr>
        <w:t xml:space="preserve">challenge, </w:t>
      </w:r>
      <w:r w:rsidR="00547B21" w:rsidRPr="0078633D">
        <w:rPr>
          <w:rFonts w:ascii="Times New Roman" w:hAnsi="Times New Roman" w:cs="Times New Roman"/>
          <w:sz w:val="20"/>
          <w:szCs w:val="20"/>
        </w:rPr>
        <w:t>the sign change in coefficients</w:t>
      </w:r>
      <w:r w:rsidR="003B2D95" w:rsidRPr="0078633D">
        <w:rPr>
          <w:rFonts w:ascii="Times New Roman" w:hAnsi="Times New Roman" w:cs="Times New Roman"/>
          <w:sz w:val="20"/>
          <w:szCs w:val="20"/>
        </w:rPr>
        <w:t xml:space="preserve">, based on the results from releasing the implicit </w:t>
      </w:r>
      <w:r w:rsidR="00AD0993" w:rsidRPr="0078633D">
        <w:rPr>
          <w:rFonts w:ascii="Times New Roman" w:hAnsi="Times New Roman" w:cs="Times New Roman"/>
          <w:sz w:val="20"/>
          <w:szCs w:val="20"/>
        </w:rPr>
        <w:t xml:space="preserve">error-free forecasting </w:t>
      </w:r>
      <w:r w:rsidR="003B2D95" w:rsidRPr="0078633D">
        <w:rPr>
          <w:rFonts w:ascii="Times New Roman" w:hAnsi="Times New Roman" w:cs="Times New Roman"/>
          <w:sz w:val="20"/>
          <w:szCs w:val="20"/>
        </w:rPr>
        <w:t>assumption</w:t>
      </w:r>
      <w:r w:rsidR="00547B21" w:rsidRPr="0078633D">
        <w:rPr>
          <w:rFonts w:ascii="Times New Roman" w:hAnsi="Times New Roman" w:cs="Times New Roman"/>
          <w:sz w:val="20"/>
          <w:szCs w:val="20"/>
        </w:rPr>
        <w:t xml:space="preserve">. Fortunately, this is not as </w:t>
      </w:r>
      <w:r w:rsidR="00CD40D5" w:rsidRPr="0078633D">
        <w:rPr>
          <w:rFonts w:ascii="Times New Roman" w:hAnsi="Times New Roman" w:cs="Times New Roman"/>
          <w:sz w:val="20"/>
          <w:szCs w:val="20"/>
        </w:rPr>
        <w:t xml:space="preserve">perplexing </w:t>
      </w:r>
      <w:r w:rsidR="00547B21" w:rsidRPr="0078633D">
        <w:rPr>
          <w:rFonts w:ascii="Times New Roman" w:hAnsi="Times New Roman" w:cs="Times New Roman"/>
          <w:sz w:val="20"/>
          <w:szCs w:val="20"/>
        </w:rPr>
        <w:t>as it seems from a practical standpoint. We can simply r</w:t>
      </w:r>
      <w:r w:rsidR="0051360D" w:rsidRPr="0078633D">
        <w:rPr>
          <w:rFonts w:ascii="Times New Roman" w:hAnsi="Times New Roman" w:cs="Times New Roman"/>
          <w:sz w:val="20"/>
          <w:szCs w:val="20"/>
        </w:rPr>
        <w:t>ecommend a contrarian strategy –</w:t>
      </w:r>
      <w:r w:rsidR="003B2D95" w:rsidRPr="0078633D">
        <w:rPr>
          <w:rFonts w:ascii="Times New Roman" w:hAnsi="Times New Roman" w:cs="Times New Roman"/>
          <w:sz w:val="20"/>
          <w:szCs w:val="20"/>
        </w:rPr>
        <w:t xml:space="preserve"> i.e.,</w:t>
      </w:r>
      <w:r w:rsidR="0051360D" w:rsidRPr="0078633D">
        <w:rPr>
          <w:rFonts w:ascii="Times New Roman" w:hAnsi="Times New Roman" w:cs="Times New Roman"/>
          <w:sz w:val="20"/>
          <w:szCs w:val="20"/>
        </w:rPr>
        <w:t xml:space="preserve"> buy stocks with low P/B and/or high ROE</w:t>
      </w:r>
      <w:r w:rsidR="003B2D95" w:rsidRPr="0078633D">
        <w:rPr>
          <w:rFonts w:ascii="Times New Roman" w:hAnsi="Times New Roman" w:cs="Times New Roman"/>
          <w:sz w:val="20"/>
          <w:szCs w:val="20"/>
        </w:rPr>
        <w:t xml:space="preserve"> – as we base our investment decisions on the proxy variables</w:t>
      </w:r>
      <w:r w:rsidR="0051360D" w:rsidRPr="0078633D">
        <w:rPr>
          <w:rFonts w:ascii="Times New Roman" w:hAnsi="Times New Roman" w:cs="Times New Roman"/>
          <w:sz w:val="20"/>
          <w:szCs w:val="20"/>
        </w:rPr>
        <w:t xml:space="preserve">. This recommendation is contradictory to the recommendation based on the seemingly bona fide contemporaneous regression. </w:t>
      </w:r>
      <w:r w:rsidR="00581BC0" w:rsidRPr="0078633D">
        <w:rPr>
          <w:rFonts w:ascii="Times New Roman" w:hAnsi="Times New Roman" w:cs="Times New Roman"/>
          <w:sz w:val="20"/>
          <w:szCs w:val="20"/>
        </w:rPr>
        <w:t>A valuable lesson from these contradictory outcomes is th</w:t>
      </w:r>
      <w:r w:rsidR="003B2D95" w:rsidRPr="0078633D">
        <w:rPr>
          <w:rFonts w:ascii="Times New Roman" w:hAnsi="Times New Roman" w:cs="Times New Roman"/>
          <w:sz w:val="20"/>
          <w:szCs w:val="20"/>
        </w:rPr>
        <w:t xml:space="preserve">at we need to devise a </w:t>
      </w:r>
      <w:r w:rsidR="00581BC0" w:rsidRPr="0078633D">
        <w:rPr>
          <w:rFonts w:ascii="Times New Roman" w:hAnsi="Times New Roman" w:cs="Times New Roman"/>
          <w:sz w:val="20"/>
          <w:szCs w:val="20"/>
        </w:rPr>
        <w:t xml:space="preserve">forecasting method </w:t>
      </w:r>
      <w:r w:rsidR="003B2D95" w:rsidRPr="0078633D">
        <w:rPr>
          <w:rFonts w:ascii="Times New Roman" w:hAnsi="Times New Roman" w:cs="Times New Roman"/>
          <w:sz w:val="20"/>
          <w:szCs w:val="20"/>
        </w:rPr>
        <w:t xml:space="preserve">superior </w:t>
      </w:r>
      <w:r w:rsidR="00581BC0" w:rsidRPr="0078633D">
        <w:rPr>
          <w:rFonts w:ascii="Times New Roman" w:hAnsi="Times New Roman" w:cs="Times New Roman"/>
          <w:sz w:val="20"/>
          <w:szCs w:val="20"/>
        </w:rPr>
        <w:t>to the random walk model to alleviate the</w:t>
      </w:r>
      <w:r w:rsidR="0051360D" w:rsidRPr="0078633D">
        <w:rPr>
          <w:rFonts w:ascii="Times New Roman" w:hAnsi="Times New Roman" w:cs="Times New Roman"/>
          <w:sz w:val="20"/>
          <w:szCs w:val="20"/>
        </w:rPr>
        <w:t xml:space="preserve"> discrepancy</w:t>
      </w:r>
      <w:r w:rsidR="00581BC0" w:rsidRPr="0078633D">
        <w:rPr>
          <w:rFonts w:ascii="Times New Roman" w:hAnsi="Times New Roman" w:cs="Times New Roman"/>
          <w:sz w:val="20"/>
          <w:szCs w:val="20"/>
        </w:rPr>
        <w:t>. F</w:t>
      </w:r>
      <w:r w:rsidR="0051360D" w:rsidRPr="0078633D">
        <w:rPr>
          <w:rFonts w:ascii="Times New Roman" w:hAnsi="Times New Roman" w:cs="Times New Roman"/>
          <w:sz w:val="20"/>
          <w:szCs w:val="20"/>
        </w:rPr>
        <w:t xml:space="preserve">uture research on this topic is warranted. </w:t>
      </w:r>
    </w:p>
    <w:p w:rsidR="00AD0993" w:rsidRPr="0078633D" w:rsidRDefault="00AD0993"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Another interesting observation is that the coefficient of GiE</w:t>
      </w:r>
      <w:r w:rsidRPr="0078633D">
        <w:rPr>
          <w:rFonts w:ascii="Times New Roman" w:hAnsi="Times New Roman" w:cs="Times New Roman"/>
          <w:sz w:val="20"/>
          <w:szCs w:val="20"/>
          <w:vertAlign w:val="subscript"/>
        </w:rPr>
        <w:t>t-1</w:t>
      </w:r>
      <w:r w:rsidRPr="0078633D">
        <w:rPr>
          <w:rFonts w:ascii="Times New Roman" w:hAnsi="Times New Roman" w:cs="Times New Roman"/>
          <w:sz w:val="20"/>
          <w:szCs w:val="20"/>
        </w:rPr>
        <w:t xml:space="preserve"> changes its sign over the panel regressions. The GiE coefficients are all negative and significant at the conventional levels according to the results of the panel regression without including the lagged term of the dependent variable (RET</w:t>
      </w:r>
      <w:r w:rsidRPr="0078633D">
        <w:rPr>
          <w:rFonts w:ascii="Times New Roman" w:hAnsi="Times New Roman" w:cs="Times New Roman"/>
          <w:sz w:val="20"/>
          <w:szCs w:val="20"/>
          <w:vertAlign w:val="subscript"/>
        </w:rPr>
        <w:t>t-1</w:t>
      </w:r>
      <w:r w:rsidRPr="0078633D">
        <w:rPr>
          <w:rFonts w:ascii="Times New Roman" w:hAnsi="Times New Roman" w:cs="Times New Roman"/>
          <w:sz w:val="20"/>
          <w:szCs w:val="20"/>
        </w:rPr>
        <w:t>). Conversely, all of them but for the DJIA turn significantly positive. Provided that RET</w:t>
      </w:r>
      <w:r w:rsidRPr="0078633D">
        <w:rPr>
          <w:rFonts w:ascii="Times New Roman" w:hAnsi="Times New Roman" w:cs="Times New Roman"/>
          <w:sz w:val="20"/>
          <w:szCs w:val="20"/>
          <w:vertAlign w:val="subscript"/>
        </w:rPr>
        <w:t>t-1</w:t>
      </w:r>
      <w:r w:rsidRPr="0078633D">
        <w:rPr>
          <w:rFonts w:ascii="Times New Roman" w:hAnsi="Times New Roman" w:cs="Times New Roman"/>
          <w:sz w:val="20"/>
          <w:szCs w:val="20"/>
        </w:rPr>
        <w:t xml:space="preserve"> is a necessary and significant control variable, I speculate that the positive GiE effect persists. The negative coefficients of RET</w:t>
      </w:r>
      <w:r w:rsidRPr="0078633D">
        <w:rPr>
          <w:rFonts w:ascii="Times New Roman" w:hAnsi="Times New Roman" w:cs="Times New Roman"/>
          <w:sz w:val="20"/>
          <w:szCs w:val="20"/>
          <w:vertAlign w:val="subscript"/>
        </w:rPr>
        <w:t>t-1</w:t>
      </w:r>
      <w:r w:rsidRPr="0078633D">
        <w:rPr>
          <w:rFonts w:ascii="Times New Roman" w:hAnsi="Times New Roman" w:cs="Times New Roman"/>
          <w:sz w:val="20"/>
          <w:szCs w:val="20"/>
        </w:rPr>
        <w:t xml:space="preserve"> indicate that stock returns show a strong tendency towards their mean value – generally known as mean reversal.</w:t>
      </w:r>
    </w:p>
    <w:p w:rsidR="009114EE" w:rsidRPr="0078633D" w:rsidRDefault="00AD0993" w:rsidP="00612DE5">
      <w:pPr>
        <w:spacing w:after="0" w:line="480" w:lineRule="auto"/>
        <w:ind w:firstLine="426"/>
        <w:jc w:val="both"/>
        <w:rPr>
          <w:rFonts w:ascii="Times New Roman" w:hAnsi="Times New Roman" w:cs="Times New Roman"/>
          <w:sz w:val="20"/>
          <w:szCs w:val="20"/>
        </w:rPr>
      </w:pPr>
      <w:r w:rsidRPr="0078633D">
        <w:rPr>
          <w:rFonts w:ascii="Times New Roman" w:hAnsi="Times New Roman" w:cs="Times New Roman"/>
          <w:sz w:val="20"/>
          <w:szCs w:val="20"/>
        </w:rPr>
        <w:t>T</w:t>
      </w:r>
      <w:r w:rsidR="00170FED" w:rsidRPr="0078633D">
        <w:rPr>
          <w:rFonts w:ascii="Times New Roman" w:hAnsi="Times New Roman" w:cs="Times New Roman"/>
          <w:sz w:val="20"/>
          <w:szCs w:val="20"/>
        </w:rPr>
        <w:t xml:space="preserve">he positive effect of ΔPB on stock return maintains. </w:t>
      </w:r>
      <w:r w:rsidR="005A6D37" w:rsidRPr="0078633D">
        <w:rPr>
          <w:rFonts w:ascii="Times New Roman" w:hAnsi="Times New Roman" w:cs="Times New Roman"/>
          <w:sz w:val="20"/>
          <w:szCs w:val="20"/>
        </w:rPr>
        <w:t>Except for the DJIA, the Δ</w:t>
      </w:r>
      <w:r w:rsidR="0080709C" w:rsidRPr="0078633D">
        <w:rPr>
          <w:rFonts w:ascii="Times New Roman" w:hAnsi="Times New Roman" w:cs="Times New Roman"/>
          <w:sz w:val="20"/>
          <w:szCs w:val="20"/>
        </w:rPr>
        <w:t>P</w:t>
      </w:r>
      <w:r w:rsidR="005A6D37" w:rsidRPr="0078633D">
        <w:rPr>
          <w:rFonts w:ascii="Times New Roman" w:hAnsi="Times New Roman" w:cs="Times New Roman"/>
          <w:sz w:val="20"/>
          <w:szCs w:val="20"/>
        </w:rPr>
        <w:t>B coefficients are significantly positive as expected</w:t>
      </w:r>
      <w:r w:rsidR="00164B49" w:rsidRPr="0078633D">
        <w:rPr>
          <w:rFonts w:ascii="Times New Roman" w:hAnsi="Times New Roman" w:cs="Times New Roman"/>
          <w:sz w:val="20"/>
          <w:szCs w:val="20"/>
        </w:rPr>
        <w:t xml:space="preserve"> and highly significant</w:t>
      </w:r>
      <w:r w:rsidR="005A6D37" w:rsidRPr="0078633D">
        <w:rPr>
          <w:rFonts w:ascii="Times New Roman" w:hAnsi="Times New Roman" w:cs="Times New Roman"/>
          <w:sz w:val="20"/>
          <w:szCs w:val="20"/>
        </w:rPr>
        <w:t xml:space="preserve">. </w:t>
      </w:r>
      <w:r w:rsidR="00164B49" w:rsidRPr="0078633D">
        <w:rPr>
          <w:rFonts w:ascii="Times New Roman" w:hAnsi="Times New Roman" w:cs="Times New Roman"/>
          <w:sz w:val="20"/>
          <w:szCs w:val="20"/>
        </w:rPr>
        <w:t>Notice that we observe the immunity of the ΔPB effect even af</w:t>
      </w:r>
      <w:r w:rsidR="002D3C95" w:rsidRPr="0078633D">
        <w:rPr>
          <w:rFonts w:ascii="Times New Roman" w:hAnsi="Times New Roman" w:cs="Times New Roman"/>
          <w:sz w:val="20"/>
          <w:szCs w:val="20"/>
        </w:rPr>
        <w:t>ter controlling for the potential surrogate variable, RET</w:t>
      </w:r>
      <w:r w:rsidR="002D3C95" w:rsidRPr="0078633D">
        <w:rPr>
          <w:rFonts w:ascii="Times New Roman" w:hAnsi="Times New Roman" w:cs="Times New Roman"/>
          <w:sz w:val="20"/>
          <w:szCs w:val="20"/>
          <w:vertAlign w:val="subscript"/>
        </w:rPr>
        <w:t>t-1</w:t>
      </w:r>
      <w:r w:rsidR="002D3C95" w:rsidRPr="0078633D">
        <w:rPr>
          <w:rFonts w:ascii="Times New Roman" w:hAnsi="Times New Roman" w:cs="Times New Roman"/>
          <w:sz w:val="20"/>
          <w:szCs w:val="20"/>
        </w:rPr>
        <w:t xml:space="preserve">. </w:t>
      </w:r>
      <w:r w:rsidR="002F4916" w:rsidRPr="0078633D">
        <w:rPr>
          <w:rFonts w:ascii="Times New Roman" w:hAnsi="Times New Roman" w:cs="Times New Roman"/>
          <w:sz w:val="20"/>
          <w:szCs w:val="20"/>
        </w:rPr>
        <w:t xml:space="preserve">This settles the </w:t>
      </w:r>
      <w:r w:rsidR="00AA0A1C" w:rsidRPr="0078633D">
        <w:rPr>
          <w:rFonts w:ascii="Times New Roman" w:hAnsi="Times New Roman" w:cs="Times New Roman"/>
          <w:sz w:val="20"/>
          <w:szCs w:val="20"/>
        </w:rPr>
        <w:t>earlier</w:t>
      </w:r>
      <w:r w:rsidR="00A24783" w:rsidRPr="0078633D">
        <w:rPr>
          <w:rFonts w:ascii="Times New Roman" w:hAnsi="Times New Roman" w:cs="Times New Roman"/>
          <w:sz w:val="20"/>
          <w:szCs w:val="20"/>
        </w:rPr>
        <w:t xml:space="preserve"> </w:t>
      </w:r>
      <w:r w:rsidR="002F4916" w:rsidRPr="0078633D">
        <w:rPr>
          <w:rFonts w:ascii="Times New Roman" w:hAnsi="Times New Roman" w:cs="Times New Roman"/>
          <w:sz w:val="20"/>
          <w:szCs w:val="20"/>
        </w:rPr>
        <w:t>concern about the near-perfect collinearity bet</w:t>
      </w:r>
      <w:r w:rsidR="00FA69AC" w:rsidRPr="0078633D">
        <w:rPr>
          <w:rFonts w:ascii="Times New Roman" w:hAnsi="Times New Roman" w:cs="Times New Roman"/>
          <w:sz w:val="20"/>
          <w:szCs w:val="20"/>
        </w:rPr>
        <w:t>ween total stock return and ΔPB, since we do not observe the typical multicollinearity problems in the model – i.e., high R-square and insignificant independent variables.</w:t>
      </w:r>
      <w:r w:rsidR="002F4916" w:rsidRPr="0078633D">
        <w:rPr>
          <w:rFonts w:ascii="Times New Roman" w:hAnsi="Times New Roman" w:cs="Times New Roman"/>
          <w:sz w:val="20"/>
          <w:szCs w:val="20"/>
        </w:rPr>
        <w:t xml:space="preserve"> </w:t>
      </w:r>
      <w:r w:rsidR="002D3C95" w:rsidRPr="0078633D">
        <w:rPr>
          <w:rFonts w:ascii="Times New Roman" w:hAnsi="Times New Roman" w:cs="Times New Roman"/>
          <w:sz w:val="20"/>
          <w:szCs w:val="20"/>
        </w:rPr>
        <w:t>As a result, i</w:t>
      </w:r>
      <w:r w:rsidR="005A6D37" w:rsidRPr="0078633D">
        <w:rPr>
          <w:rFonts w:ascii="Times New Roman" w:hAnsi="Times New Roman" w:cs="Times New Roman"/>
          <w:sz w:val="20"/>
          <w:szCs w:val="20"/>
        </w:rPr>
        <w:t>nvestors are still advised to purchase firms with high Δ</w:t>
      </w:r>
      <w:r w:rsidR="00416B50" w:rsidRPr="0078633D">
        <w:rPr>
          <w:rFonts w:ascii="Times New Roman" w:hAnsi="Times New Roman" w:cs="Times New Roman"/>
          <w:sz w:val="20"/>
          <w:szCs w:val="20"/>
        </w:rPr>
        <w:t>P</w:t>
      </w:r>
      <w:r w:rsidR="000D29CE" w:rsidRPr="0078633D">
        <w:rPr>
          <w:rFonts w:ascii="Times New Roman" w:hAnsi="Times New Roman" w:cs="Times New Roman"/>
          <w:sz w:val="20"/>
          <w:szCs w:val="20"/>
        </w:rPr>
        <w:t>B for wealth buildup. A relevant</w:t>
      </w:r>
      <w:r w:rsidR="005A6D37" w:rsidRPr="0078633D">
        <w:rPr>
          <w:rFonts w:ascii="Times New Roman" w:hAnsi="Times New Roman" w:cs="Times New Roman"/>
          <w:sz w:val="20"/>
          <w:szCs w:val="20"/>
        </w:rPr>
        <w:t xml:space="preserve"> interpretation is that the random walk process reasonably well characterizes the movements of Δ</w:t>
      </w:r>
      <w:r w:rsidR="00416B50" w:rsidRPr="0078633D">
        <w:rPr>
          <w:rFonts w:ascii="Times New Roman" w:hAnsi="Times New Roman" w:cs="Times New Roman"/>
          <w:sz w:val="20"/>
          <w:szCs w:val="20"/>
        </w:rPr>
        <w:t>P</w:t>
      </w:r>
      <w:r w:rsidR="005A6D37" w:rsidRPr="0078633D">
        <w:rPr>
          <w:rFonts w:ascii="Times New Roman" w:hAnsi="Times New Roman" w:cs="Times New Roman"/>
          <w:sz w:val="20"/>
          <w:szCs w:val="20"/>
        </w:rPr>
        <w:t>B.</w:t>
      </w:r>
      <w:r w:rsidRPr="0078633D">
        <w:rPr>
          <w:rFonts w:ascii="Times New Roman" w:hAnsi="Times New Roman" w:cs="Times New Roman"/>
          <w:sz w:val="20"/>
          <w:szCs w:val="20"/>
        </w:rPr>
        <w:t xml:space="preserve"> It also implies that </w:t>
      </w:r>
      <w:r w:rsidR="00FB13AC" w:rsidRPr="0078633D">
        <w:rPr>
          <w:rFonts w:ascii="Times New Roman" w:hAnsi="Times New Roman" w:cs="Times New Roman"/>
          <w:sz w:val="20"/>
          <w:szCs w:val="20"/>
        </w:rPr>
        <w:t xml:space="preserve">the </w:t>
      </w:r>
      <w:r w:rsidRPr="0078633D">
        <w:rPr>
          <w:rFonts w:ascii="Times New Roman" w:hAnsi="Times New Roman" w:cs="Times New Roman"/>
          <w:sz w:val="20"/>
          <w:szCs w:val="20"/>
        </w:rPr>
        <w:t xml:space="preserve">ΔPB is a consistent value determinant unlike the others. </w:t>
      </w:r>
      <w:r w:rsidR="000D29CE" w:rsidRPr="0078633D">
        <w:rPr>
          <w:rFonts w:ascii="Times New Roman" w:hAnsi="Times New Roman" w:cs="Times New Roman"/>
          <w:sz w:val="20"/>
          <w:szCs w:val="20"/>
        </w:rPr>
        <w:t>However</w:t>
      </w:r>
      <w:r w:rsidR="005A6D37" w:rsidRPr="0078633D">
        <w:rPr>
          <w:rFonts w:ascii="Times New Roman" w:hAnsi="Times New Roman" w:cs="Times New Roman"/>
          <w:sz w:val="20"/>
          <w:szCs w:val="20"/>
        </w:rPr>
        <w:t>, much smaller coefficients</w:t>
      </w:r>
      <w:r w:rsidR="000D29CE" w:rsidRPr="0078633D">
        <w:rPr>
          <w:rFonts w:ascii="Times New Roman" w:hAnsi="Times New Roman" w:cs="Times New Roman"/>
          <w:sz w:val="20"/>
          <w:szCs w:val="20"/>
        </w:rPr>
        <w:t xml:space="preserve">, 0.0034 in </w:t>
      </w:r>
      <w:r w:rsidR="00B64AE0"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5</w:t>
      </w:r>
      <w:r w:rsidR="000D29CE" w:rsidRPr="0078633D">
        <w:rPr>
          <w:rFonts w:ascii="Times New Roman" w:hAnsi="Times New Roman" w:cs="Times New Roman"/>
          <w:sz w:val="20"/>
          <w:szCs w:val="20"/>
        </w:rPr>
        <w:t xml:space="preserve"> versus 0.0097 in </w:t>
      </w:r>
      <w:r w:rsidR="00B64AE0" w:rsidRPr="0078633D">
        <w:rPr>
          <w:rFonts w:ascii="Times New Roman" w:hAnsi="Times New Roman" w:cs="Times New Roman"/>
          <w:sz w:val="20"/>
          <w:szCs w:val="20"/>
        </w:rPr>
        <w:t>Table</w:t>
      </w:r>
      <w:r w:rsidR="006B77AC" w:rsidRPr="0078633D">
        <w:rPr>
          <w:rFonts w:ascii="Times New Roman" w:hAnsi="Times New Roman" w:cs="Times New Roman"/>
          <w:sz w:val="20"/>
          <w:szCs w:val="20"/>
        </w:rPr>
        <w:t xml:space="preserve"> 4</w:t>
      </w:r>
      <w:r w:rsidR="000D29CE" w:rsidRPr="0078633D">
        <w:rPr>
          <w:rFonts w:ascii="Times New Roman" w:hAnsi="Times New Roman" w:cs="Times New Roman"/>
          <w:sz w:val="20"/>
          <w:szCs w:val="20"/>
        </w:rPr>
        <w:t xml:space="preserve"> for the S&amp;P 1500, with </w:t>
      </w:r>
      <w:r w:rsidR="007D4596" w:rsidRPr="0078633D">
        <w:rPr>
          <w:rFonts w:ascii="Times New Roman" w:hAnsi="Times New Roman" w:cs="Times New Roman"/>
          <w:sz w:val="20"/>
          <w:szCs w:val="20"/>
        </w:rPr>
        <w:t>similar standard errors</w:t>
      </w:r>
      <w:r w:rsidR="000D29CE" w:rsidRPr="0078633D">
        <w:rPr>
          <w:rFonts w:ascii="Times New Roman" w:hAnsi="Times New Roman" w:cs="Times New Roman"/>
          <w:sz w:val="20"/>
          <w:szCs w:val="20"/>
        </w:rPr>
        <w:t>, 0.0006 versus 0.0005, are a clue</w:t>
      </w:r>
      <w:r w:rsidR="007D4596" w:rsidRPr="0078633D">
        <w:rPr>
          <w:rFonts w:ascii="Times New Roman" w:hAnsi="Times New Roman" w:cs="Times New Roman"/>
          <w:sz w:val="20"/>
          <w:szCs w:val="20"/>
        </w:rPr>
        <w:t xml:space="preserve"> that there is room for improving the investment return by </w:t>
      </w:r>
      <w:r w:rsidR="00F04E59" w:rsidRPr="0078633D">
        <w:rPr>
          <w:rFonts w:ascii="Times New Roman" w:hAnsi="Times New Roman" w:cs="Times New Roman"/>
          <w:sz w:val="20"/>
          <w:szCs w:val="20"/>
        </w:rPr>
        <w:t>replacing the random walk model with a more powerful forecasting model</w:t>
      </w:r>
      <w:r w:rsidR="007D4596" w:rsidRPr="0078633D">
        <w:rPr>
          <w:rFonts w:ascii="Times New Roman" w:hAnsi="Times New Roman" w:cs="Times New Roman"/>
          <w:sz w:val="20"/>
          <w:szCs w:val="20"/>
        </w:rPr>
        <w:t xml:space="preserve">. </w:t>
      </w:r>
      <w:r w:rsidR="005A6D37" w:rsidRPr="0078633D">
        <w:rPr>
          <w:rFonts w:ascii="Times New Roman" w:hAnsi="Times New Roman" w:cs="Times New Roman"/>
          <w:sz w:val="20"/>
          <w:szCs w:val="20"/>
        </w:rPr>
        <w:t xml:space="preserve"> </w:t>
      </w:r>
      <w:r w:rsidR="006A0D83" w:rsidRPr="0078633D">
        <w:rPr>
          <w:rFonts w:ascii="Times New Roman" w:hAnsi="Times New Roman" w:cs="Times New Roman"/>
          <w:sz w:val="20"/>
          <w:szCs w:val="20"/>
        </w:rPr>
        <w:t xml:space="preserve"> </w:t>
      </w:r>
      <w:r w:rsidR="009114EE" w:rsidRPr="0078633D">
        <w:rPr>
          <w:rFonts w:ascii="Times New Roman" w:hAnsi="Times New Roman" w:cs="Times New Roman"/>
          <w:sz w:val="20"/>
          <w:szCs w:val="20"/>
        </w:rPr>
        <w:t xml:space="preserve">  </w:t>
      </w:r>
    </w:p>
    <w:p w:rsidR="00AD3419" w:rsidRPr="0078633D" w:rsidRDefault="008216E0" w:rsidP="0078633D">
      <w:pPr>
        <w:pStyle w:val="a3"/>
        <w:numPr>
          <w:ilvl w:val="0"/>
          <w:numId w:val="14"/>
        </w:numPr>
        <w:spacing w:after="0" w:line="480" w:lineRule="auto"/>
        <w:ind w:left="851" w:hanging="851"/>
        <w:jc w:val="both"/>
        <w:rPr>
          <w:rFonts w:ascii="Times New Roman" w:hAnsi="Times New Roman" w:cs="Times New Roman"/>
          <w:b/>
          <w:sz w:val="30"/>
          <w:szCs w:val="30"/>
        </w:rPr>
      </w:pPr>
      <w:r w:rsidRPr="0078633D">
        <w:rPr>
          <w:rFonts w:ascii="Times New Roman" w:hAnsi="Times New Roman" w:cs="Times New Roman"/>
          <w:b/>
          <w:sz w:val="30"/>
          <w:szCs w:val="30"/>
        </w:rPr>
        <w:t>Conclusions</w:t>
      </w:r>
    </w:p>
    <w:p w:rsidR="007E6B88" w:rsidRPr="002F05A0" w:rsidRDefault="008D7276" w:rsidP="00612DE5">
      <w:pPr>
        <w:spacing w:after="0" w:line="480" w:lineRule="auto"/>
        <w:ind w:firstLine="426"/>
        <w:jc w:val="both"/>
        <w:rPr>
          <w:rFonts w:ascii="Times New Roman" w:hAnsi="Times New Roman" w:cs="Times New Roman"/>
        </w:rPr>
      </w:pPr>
      <w:r w:rsidRPr="002F05A0">
        <w:rPr>
          <w:rFonts w:ascii="Times New Roman" w:hAnsi="Times New Roman" w:cs="Times New Roman"/>
        </w:rPr>
        <w:t xml:space="preserve">The purpose of this article is to examine the </w:t>
      </w:r>
      <w:r w:rsidRPr="002F05A0">
        <w:rPr>
          <w:rFonts w:ascii="Times New Roman" w:hAnsi="Times New Roman" w:cs="Times New Roman"/>
          <w:i/>
        </w:rPr>
        <w:t>innovative</w:t>
      </w:r>
      <w:r w:rsidRPr="002F05A0">
        <w:rPr>
          <w:rFonts w:ascii="Times New Roman" w:hAnsi="Times New Roman" w:cs="Times New Roman"/>
        </w:rPr>
        <w:t xml:space="preserve"> P/B ratio denoted as ΔPB in forecasting stock returns. In spite of its potential importance, the ΔPB has gained little attention in</w:t>
      </w:r>
      <w:r w:rsidR="00090093" w:rsidRPr="002F05A0">
        <w:rPr>
          <w:rFonts w:ascii="Times New Roman" w:hAnsi="Times New Roman" w:cs="Times New Roman"/>
        </w:rPr>
        <w:t xml:space="preserve"> modeling stock returns.  </w:t>
      </w:r>
      <w:r w:rsidR="00090093" w:rsidRPr="002F05A0">
        <w:rPr>
          <w:rFonts w:ascii="Times New Roman" w:hAnsi="Times New Roman" w:cs="Times New Roman"/>
        </w:rPr>
        <w:lastRenderedPageBreak/>
        <w:t>T</w:t>
      </w:r>
      <w:r w:rsidRPr="002F05A0">
        <w:rPr>
          <w:rFonts w:ascii="Times New Roman" w:hAnsi="Times New Roman" w:cs="Times New Roman"/>
        </w:rPr>
        <w:t xml:space="preserve">he </w:t>
      </w:r>
      <w:r w:rsidR="00090093" w:rsidRPr="002F05A0">
        <w:rPr>
          <w:rFonts w:ascii="Times New Roman" w:hAnsi="Times New Roman" w:cs="Times New Roman"/>
          <w:i/>
        </w:rPr>
        <w:t>contemporary</w:t>
      </w:r>
      <w:r w:rsidR="00090093" w:rsidRPr="002F05A0">
        <w:rPr>
          <w:rFonts w:ascii="Times New Roman" w:hAnsi="Times New Roman" w:cs="Times New Roman"/>
        </w:rPr>
        <w:t xml:space="preserve"> </w:t>
      </w:r>
      <w:r w:rsidRPr="002F05A0">
        <w:rPr>
          <w:rFonts w:ascii="Times New Roman" w:hAnsi="Times New Roman" w:cs="Times New Roman"/>
        </w:rPr>
        <w:t xml:space="preserve">portfolio return </w:t>
      </w:r>
      <w:r w:rsidR="00E73188" w:rsidRPr="002F05A0">
        <w:rPr>
          <w:rFonts w:ascii="Times New Roman" w:hAnsi="Times New Roman" w:cs="Times New Roman"/>
        </w:rPr>
        <w:t xml:space="preserve">and panel regression </w:t>
      </w:r>
      <w:r w:rsidRPr="002F05A0">
        <w:rPr>
          <w:rFonts w:ascii="Times New Roman" w:hAnsi="Times New Roman" w:cs="Times New Roman"/>
        </w:rPr>
        <w:t>analyses</w:t>
      </w:r>
      <w:r w:rsidR="00090093" w:rsidRPr="002F05A0">
        <w:rPr>
          <w:rFonts w:ascii="Times New Roman" w:hAnsi="Times New Roman" w:cs="Times New Roman"/>
        </w:rPr>
        <w:t xml:space="preserve"> exhibit that th</w:t>
      </w:r>
      <w:r w:rsidRPr="002F05A0">
        <w:rPr>
          <w:rFonts w:ascii="Times New Roman" w:hAnsi="Times New Roman" w:cs="Times New Roman"/>
        </w:rPr>
        <w:t>e four fundamental value determinants are critical variables that can predict future stock returns</w:t>
      </w:r>
      <w:r w:rsidR="00090093" w:rsidRPr="002F05A0">
        <w:rPr>
          <w:rFonts w:ascii="Times New Roman" w:hAnsi="Times New Roman" w:cs="Times New Roman"/>
        </w:rPr>
        <w:t xml:space="preserve"> and more interestingly</w:t>
      </w:r>
      <w:r w:rsidRPr="002F05A0">
        <w:rPr>
          <w:rFonts w:ascii="Times New Roman" w:hAnsi="Times New Roman" w:cs="Times New Roman"/>
        </w:rPr>
        <w:t xml:space="preserve"> the effect of the ΔPB on stock returns is </w:t>
      </w:r>
      <w:r w:rsidR="00090093" w:rsidRPr="002F05A0">
        <w:rPr>
          <w:rFonts w:ascii="Times New Roman" w:hAnsi="Times New Roman" w:cs="Times New Roman"/>
        </w:rPr>
        <w:t>stronger than</w:t>
      </w:r>
      <w:r w:rsidRPr="002F05A0">
        <w:rPr>
          <w:rFonts w:ascii="Times New Roman" w:hAnsi="Times New Roman" w:cs="Times New Roman"/>
        </w:rPr>
        <w:t xml:space="preserve"> the </w:t>
      </w:r>
      <w:r w:rsidRPr="002F05A0">
        <w:rPr>
          <w:rFonts w:ascii="Times New Roman" w:hAnsi="Times New Roman" w:cs="Times New Roman"/>
          <w:i/>
        </w:rPr>
        <w:t>conventional</w:t>
      </w:r>
      <w:r w:rsidR="00090093" w:rsidRPr="002F05A0">
        <w:rPr>
          <w:rFonts w:ascii="Times New Roman" w:hAnsi="Times New Roman" w:cs="Times New Roman"/>
        </w:rPr>
        <w:t xml:space="preserve"> </w:t>
      </w:r>
      <w:r w:rsidRPr="002F05A0">
        <w:rPr>
          <w:rFonts w:ascii="Times New Roman" w:hAnsi="Times New Roman" w:cs="Times New Roman"/>
        </w:rPr>
        <w:t xml:space="preserve">P/B ratio. To earn an outstanding return, investors are advised to go long for firms with high expected ΔPB and sell short firms with low expected ΔPB regardless of firm size. According to the portfolio return analysis, the ΔPB-based long-short investment strategy shows the best performance. The above results are robust to the choice of panel regression models between the fixed and the random effects. </w:t>
      </w:r>
      <w:r w:rsidR="00090093" w:rsidRPr="002F05A0">
        <w:rPr>
          <w:rFonts w:ascii="Times New Roman" w:hAnsi="Times New Roman" w:cs="Times New Roman"/>
        </w:rPr>
        <w:t xml:space="preserve">The </w:t>
      </w:r>
      <w:r w:rsidR="00090093" w:rsidRPr="002F05A0">
        <w:rPr>
          <w:rFonts w:ascii="Times New Roman" w:hAnsi="Times New Roman" w:cs="Times New Roman"/>
          <w:i/>
        </w:rPr>
        <w:t>proxy</w:t>
      </w:r>
      <w:r w:rsidR="00090093" w:rsidRPr="002F05A0">
        <w:rPr>
          <w:rFonts w:ascii="Times New Roman" w:hAnsi="Times New Roman" w:cs="Times New Roman"/>
        </w:rPr>
        <w:t xml:space="preserve"> portfolio return and panel regression analyses find evidence that ROE and the P/B ratio show the phenomenon of mean reversal and the ΔPB maintains its significantly positive relation to stock returns. </w:t>
      </w:r>
      <w:r w:rsidR="007E6B88" w:rsidRPr="002F05A0">
        <w:rPr>
          <w:rFonts w:ascii="Times New Roman" w:hAnsi="Times New Roman" w:cs="Times New Roman"/>
        </w:rPr>
        <w:t xml:space="preserve">The results are robust to the choice of panel regression models, the fixed and random effects. </w:t>
      </w:r>
      <w:r w:rsidR="00FB13AC">
        <w:rPr>
          <w:rFonts w:ascii="Times New Roman" w:hAnsi="Times New Roman" w:cs="Times New Roman"/>
        </w:rPr>
        <w:t xml:space="preserve">The </w:t>
      </w:r>
      <w:r w:rsidR="00FB13AC" w:rsidRPr="002F05A0">
        <w:rPr>
          <w:rFonts w:ascii="Times New Roman" w:hAnsi="Times New Roman" w:cs="Times New Roman"/>
        </w:rPr>
        <w:t>ΔPB</w:t>
      </w:r>
      <w:r w:rsidR="00FB13AC">
        <w:rPr>
          <w:rFonts w:ascii="Times New Roman" w:hAnsi="Times New Roman" w:cs="Times New Roman"/>
        </w:rPr>
        <w:t xml:space="preserve"> appears to be a value determinant or heuristic that investors should rely on in making investment decisions. The </w:t>
      </w:r>
      <w:r w:rsidR="007E6B88" w:rsidRPr="002F05A0">
        <w:rPr>
          <w:rFonts w:ascii="Times New Roman" w:hAnsi="Times New Roman" w:cs="Times New Roman"/>
        </w:rPr>
        <w:t>Releasing the random walk assumption on independent variables and applying the concept of innovative value determinant to other valuation models warrant future research.</w:t>
      </w:r>
    </w:p>
    <w:p w:rsidR="00D24ED3" w:rsidRPr="00AA7FE7" w:rsidRDefault="008370BD" w:rsidP="00DD4BA3">
      <w:pPr>
        <w:spacing w:after="0" w:line="480" w:lineRule="auto"/>
        <w:ind w:firstLine="360"/>
        <w:jc w:val="both"/>
        <w:rPr>
          <w:rFonts w:ascii="Times New Roman" w:hAnsi="Times New Roman" w:cs="Times New Roman"/>
        </w:rPr>
      </w:pPr>
      <w:r w:rsidRPr="00AA7FE7">
        <w:rPr>
          <w:rFonts w:ascii="Times New Roman" w:hAnsi="Times New Roman" w:cs="Times New Roman"/>
        </w:rPr>
        <w:t xml:space="preserve">  </w:t>
      </w:r>
      <w:r w:rsidR="00C6084C" w:rsidRPr="00AA7FE7">
        <w:rPr>
          <w:rFonts w:ascii="Times New Roman" w:hAnsi="Times New Roman" w:cs="Times New Roman"/>
        </w:rPr>
        <w:t xml:space="preserve">  </w:t>
      </w:r>
      <w:r w:rsidR="00413C2F" w:rsidRPr="00AA7FE7">
        <w:rPr>
          <w:rFonts w:ascii="Times New Roman" w:hAnsi="Times New Roman" w:cs="Times New Roman"/>
        </w:rPr>
        <w:t xml:space="preserve">   </w:t>
      </w:r>
    </w:p>
    <w:p w:rsidR="00D24ED3" w:rsidRPr="00C43E64" w:rsidRDefault="00D24ED3">
      <w:pPr>
        <w:rPr>
          <w:rFonts w:ascii="Times New Roman" w:hAnsi="Times New Roman" w:cs="Times New Roman"/>
        </w:rPr>
      </w:pPr>
      <w:r w:rsidRPr="00C43E64">
        <w:rPr>
          <w:rFonts w:ascii="Times New Roman" w:hAnsi="Times New Roman" w:cs="Times New Roman"/>
        </w:rPr>
        <w:br w:type="page"/>
      </w:r>
    </w:p>
    <w:p w:rsidR="00D24ED3" w:rsidRPr="00C43E64" w:rsidRDefault="00B64AE0" w:rsidP="00A9076D">
      <w:pPr>
        <w:spacing w:after="0" w:line="240" w:lineRule="auto"/>
        <w:rPr>
          <w:rFonts w:ascii="Times New Roman" w:hAnsi="Times New Roman" w:cs="Times New Roman"/>
          <w:b/>
          <w:sz w:val="20"/>
          <w:szCs w:val="20"/>
        </w:rPr>
      </w:pPr>
      <w:r w:rsidRPr="00C43E64">
        <w:rPr>
          <w:rFonts w:ascii="Times New Roman" w:hAnsi="Times New Roman" w:cs="Times New Roman"/>
          <w:b/>
          <w:sz w:val="20"/>
          <w:szCs w:val="20"/>
        </w:rPr>
        <w:lastRenderedPageBreak/>
        <w:t>Table</w:t>
      </w:r>
      <w:r w:rsidR="006B77AC" w:rsidRPr="00C43E64">
        <w:rPr>
          <w:rFonts w:ascii="Times New Roman" w:hAnsi="Times New Roman" w:cs="Times New Roman"/>
          <w:b/>
          <w:sz w:val="20"/>
          <w:szCs w:val="20"/>
        </w:rPr>
        <w:t xml:space="preserve"> 1</w:t>
      </w:r>
      <w:r w:rsidR="00D24ED3" w:rsidRPr="00C43E64">
        <w:rPr>
          <w:rFonts w:ascii="Times New Roman" w:hAnsi="Times New Roman" w:cs="Times New Roman"/>
          <w:b/>
          <w:sz w:val="20"/>
          <w:szCs w:val="20"/>
        </w:rPr>
        <w:t>. Descriptive Characteristics of Four Value Determinants by Indexes</w:t>
      </w:r>
    </w:p>
    <w:p w:rsidR="00D24ED3" w:rsidRPr="00C43E64" w:rsidRDefault="00D24ED3" w:rsidP="00A9076D">
      <w:pPr>
        <w:spacing w:after="0" w:line="240" w:lineRule="auto"/>
        <w:rPr>
          <w:rFonts w:ascii="Times New Roman" w:hAnsi="Times New Roman" w:cs="Times New Roman"/>
          <w:b/>
          <w:sz w:val="20"/>
          <w:szCs w:val="20"/>
        </w:rPr>
      </w:pPr>
    </w:p>
    <w:p w:rsidR="00D24ED3" w:rsidRPr="00C43E64" w:rsidRDefault="00D24ED3" w:rsidP="00A9076D">
      <w:pPr>
        <w:spacing w:after="0" w:line="240" w:lineRule="auto"/>
        <w:jc w:val="both"/>
        <w:rPr>
          <w:rFonts w:ascii="Times New Roman" w:hAnsi="Times New Roman" w:cs="Times New Roman"/>
          <w:sz w:val="20"/>
          <w:szCs w:val="20"/>
        </w:rPr>
      </w:pPr>
      <w:r w:rsidRPr="00C43E64">
        <w:rPr>
          <w:rFonts w:ascii="Times New Roman" w:hAnsi="Times New Roman" w:cs="Times New Roman"/>
          <w:sz w:val="20"/>
          <w:szCs w:val="20"/>
        </w:rPr>
        <w:t>The table reports the gross mean, standard deviation (STD), minimum, max</w:t>
      </w:r>
      <w:r w:rsidR="002E709D">
        <w:rPr>
          <w:rFonts w:ascii="Times New Roman" w:hAnsi="Times New Roman" w:cs="Times New Roman"/>
          <w:sz w:val="20"/>
          <w:szCs w:val="20"/>
        </w:rPr>
        <w:t>imum, and number of firm-year</w:t>
      </w:r>
      <w:r w:rsidRPr="00C43E64">
        <w:rPr>
          <w:rFonts w:ascii="Times New Roman" w:hAnsi="Times New Roman" w:cs="Times New Roman"/>
          <w:sz w:val="20"/>
          <w:szCs w:val="20"/>
        </w:rPr>
        <w:t xml:space="preserve">s of the five variables used in analysis for the five stock market indexes. The five variables are stock return (RET), growth in earnings (GiE), return on equity (ROE), price-to-book ratio (P/B), and change in price-to-book ratio (ΔPB). The Dows Jones Industrial Average (DJIA), S&amp;P Mid Cap 400 (S&amp;P Mid Cap), S&amp;P Small Cap 600 (S&amp;P Small Cap), and S&amp;P 1500 Composite (S&amp;P 1500) indexes are the market indexes of interest. </w:t>
      </w:r>
    </w:p>
    <w:p w:rsidR="00D24ED3" w:rsidRPr="00C43E64" w:rsidRDefault="00D24ED3" w:rsidP="00A9076D">
      <w:pPr>
        <w:spacing w:after="0" w:line="240" w:lineRule="auto"/>
        <w:rPr>
          <w:rFonts w:ascii="Times New Roman" w:hAnsi="Times New Roman" w:cs="Times New Roman"/>
          <w:sz w:val="20"/>
          <w:szCs w:val="20"/>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4"/>
        <w:gridCol w:w="1106"/>
        <w:gridCol w:w="1006"/>
        <w:gridCol w:w="1072"/>
        <w:gridCol w:w="1205"/>
        <w:gridCol w:w="1250"/>
        <w:gridCol w:w="774"/>
      </w:tblGrid>
      <w:tr w:rsidR="00D24ED3" w:rsidRPr="00C43E64" w:rsidTr="00CF399E">
        <w:tc>
          <w:tcPr>
            <w:tcW w:w="1644" w:type="dxa"/>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Index</w:t>
            </w:r>
          </w:p>
        </w:tc>
        <w:tc>
          <w:tcPr>
            <w:tcW w:w="1106" w:type="dxa"/>
            <w:tcBorders>
              <w:bottom w:val="single" w:sz="4" w:space="0" w:color="auto"/>
            </w:tcBorders>
            <w:vAlign w:val="center"/>
          </w:tcPr>
          <w:p w:rsidR="00D24ED3" w:rsidRPr="00C43E64" w:rsidRDefault="00D24ED3" w:rsidP="00A9076D">
            <w:pPr>
              <w:jc w:val="right"/>
              <w:rPr>
                <w:rFonts w:ascii="Times New Roman" w:hAnsi="Times New Roman" w:cs="Times New Roman"/>
                <w:b/>
                <w:bCs/>
                <w:sz w:val="20"/>
                <w:szCs w:val="20"/>
              </w:rPr>
            </w:pPr>
            <w:r w:rsidRPr="00C43E64">
              <w:rPr>
                <w:rFonts w:ascii="Times New Roman" w:hAnsi="Times New Roman" w:cs="Times New Roman"/>
                <w:b/>
                <w:bCs/>
                <w:sz w:val="20"/>
                <w:szCs w:val="20"/>
              </w:rPr>
              <w:t>Variable</w:t>
            </w:r>
          </w:p>
        </w:tc>
        <w:tc>
          <w:tcPr>
            <w:tcW w:w="1006" w:type="dxa"/>
            <w:tcBorders>
              <w:bottom w:val="single" w:sz="4" w:space="0" w:color="auto"/>
            </w:tcBorders>
            <w:vAlign w:val="center"/>
          </w:tcPr>
          <w:p w:rsidR="00D24ED3" w:rsidRPr="00C43E64" w:rsidRDefault="00D24ED3" w:rsidP="00A9076D">
            <w:pPr>
              <w:jc w:val="right"/>
              <w:rPr>
                <w:rFonts w:ascii="Times New Roman" w:hAnsi="Times New Roman" w:cs="Times New Roman"/>
                <w:b/>
                <w:bCs/>
                <w:sz w:val="20"/>
                <w:szCs w:val="20"/>
              </w:rPr>
            </w:pPr>
            <w:r w:rsidRPr="00C43E64">
              <w:rPr>
                <w:rFonts w:ascii="Times New Roman" w:hAnsi="Times New Roman" w:cs="Times New Roman"/>
                <w:b/>
                <w:bCs/>
                <w:sz w:val="20"/>
                <w:szCs w:val="20"/>
              </w:rPr>
              <w:t>Mean</w:t>
            </w:r>
          </w:p>
        </w:tc>
        <w:tc>
          <w:tcPr>
            <w:tcW w:w="1072" w:type="dxa"/>
            <w:tcBorders>
              <w:bottom w:val="single" w:sz="4" w:space="0" w:color="auto"/>
            </w:tcBorders>
            <w:vAlign w:val="center"/>
          </w:tcPr>
          <w:p w:rsidR="00D24ED3" w:rsidRPr="00C43E64" w:rsidRDefault="00D24ED3" w:rsidP="00A9076D">
            <w:pPr>
              <w:jc w:val="right"/>
              <w:rPr>
                <w:rFonts w:ascii="Times New Roman" w:hAnsi="Times New Roman" w:cs="Times New Roman"/>
                <w:b/>
                <w:bCs/>
                <w:sz w:val="20"/>
                <w:szCs w:val="20"/>
              </w:rPr>
            </w:pPr>
            <w:r w:rsidRPr="00C43E64">
              <w:rPr>
                <w:rFonts w:ascii="Times New Roman" w:hAnsi="Times New Roman" w:cs="Times New Roman"/>
                <w:b/>
                <w:bCs/>
                <w:sz w:val="20"/>
                <w:szCs w:val="20"/>
              </w:rPr>
              <w:t>STD</w:t>
            </w:r>
          </w:p>
        </w:tc>
        <w:tc>
          <w:tcPr>
            <w:tcW w:w="1205" w:type="dxa"/>
            <w:tcBorders>
              <w:bottom w:val="single" w:sz="4" w:space="0" w:color="auto"/>
            </w:tcBorders>
            <w:vAlign w:val="center"/>
          </w:tcPr>
          <w:p w:rsidR="00D24ED3" w:rsidRPr="00C43E64" w:rsidRDefault="00D24ED3" w:rsidP="00A9076D">
            <w:pPr>
              <w:jc w:val="right"/>
              <w:rPr>
                <w:rFonts w:ascii="Times New Roman" w:hAnsi="Times New Roman" w:cs="Times New Roman"/>
                <w:b/>
                <w:bCs/>
                <w:sz w:val="20"/>
                <w:szCs w:val="20"/>
              </w:rPr>
            </w:pPr>
            <w:r w:rsidRPr="00C43E64">
              <w:rPr>
                <w:rFonts w:ascii="Times New Roman" w:hAnsi="Times New Roman" w:cs="Times New Roman"/>
                <w:b/>
                <w:bCs/>
                <w:sz w:val="20"/>
                <w:szCs w:val="20"/>
              </w:rPr>
              <w:t>Minimum</w:t>
            </w:r>
          </w:p>
        </w:tc>
        <w:tc>
          <w:tcPr>
            <w:tcW w:w="1250" w:type="dxa"/>
            <w:tcBorders>
              <w:bottom w:val="single" w:sz="4" w:space="0" w:color="auto"/>
            </w:tcBorders>
            <w:vAlign w:val="center"/>
          </w:tcPr>
          <w:p w:rsidR="00D24ED3" w:rsidRPr="00C43E64" w:rsidRDefault="00D24ED3" w:rsidP="00A9076D">
            <w:pPr>
              <w:jc w:val="right"/>
              <w:rPr>
                <w:rFonts w:ascii="Times New Roman" w:hAnsi="Times New Roman" w:cs="Times New Roman"/>
                <w:b/>
                <w:bCs/>
                <w:sz w:val="20"/>
                <w:szCs w:val="20"/>
              </w:rPr>
            </w:pPr>
            <w:r w:rsidRPr="00C43E64">
              <w:rPr>
                <w:rFonts w:ascii="Times New Roman" w:hAnsi="Times New Roman" w:cs="Times New Roman"/>
                <w:b/>
                <w:bCs/>
                <w:sz w:val="20"/>
                <w:szCs w:val="20"/>
              </w:rPr>
              <w:t>Maximum</w:t>
            </w:r>
          </w:p>
        </w:tc>
        <w:tc>
          <w:tcPr>
            <w:tcW w:w="774" w:type="dxa"/>
            <w:tcBorders>
              <w:bottom w:val="single" w:sz="4" w:space="0" w:color="auto"/>
            </w:tcBorders>
            <w:vAlign w:val="center"/>
          </w:tcPr>
          <w:p w:rsidR="00D24ED3" w:rsidRPr="00C43E64" w:rsidRDefault="00D24ED3" w:rsidP="00A9076D">
            <w:pPr>
              <w:jc w:val="right"/>
              <w:rPr>
                <w:rFonts w:ascii="Times New Roman" w:hAnsi="Times New Roman" w:cs="Times New Roman"/>
                <w:b/>
                <w:bCs/>
                <w:sz w:val="20"/>
                <w:szCs w:val="20"/>
              </w:rPr>
            </w:pPr>
            <w:r w:rsidRPr="00C43E64">
              <w:rPr>
                <w:rFonts w:ascii="Times New Roman" w:hAnsi="Times New Roman" w:cs="Times New Roman"/>
                <w:b/>
                <w:bCs/>
                <w:sz w:val="20"/>
                <w:szCs w:val="20"/>
              </w:rPr>
              <w:t>N</w:t>
            </w:r>
          </w:p>
        </w:tc>
      </w:tr>
      <w:tr w:rsidR="00D24ED3" w:rsidRPr="00C43E64" w:rsidTr="00CF399E">
        <w:tc>
          <w:tcPr>
            <w:tcW w:w="1644" w:type="dxa"/>
            <w:vMerge w:val="restart"/>
            <w:tcBorders>
              <w:top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DJIA</w:t>
            </w:r>
          </w:p>
        </w:tc>
        <w:tc>
          <w:tcPr>
            <w:tcW w:w="1106"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RET</w:t>
            </w:r>
          </w:p>
        </w:tc>
        <w:tc>
          <w:tcPr>
            <w:tcW w:w="1006"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0.0760</w:t>
            </w:r>
          </w:p>
        </w:tc>
        <w:tc>
          <w:tcPr>
            <w:tcW w:w="1072"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0.3523</w:t>
            </w:r>
          </w:p>
        </w:tc>
        <w:tc>
          <w:tcPr>
            <w:tcW w:w="1205"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-0.7970</w:t>
            </w:r>
          </w:p>
        </w:tc>
        <w:tc>
          <w:tcPr>
            <w:tcW w:w="1250"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2.3171</w:t>
            </w:r>
          </w:p>
        </w:tc>
        <w:tc>
          <w:tcPr>
            <w:tcW w:w="774"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1125</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GiE</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0.1052</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0.6770</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-0.9941</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7.4426</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1125</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ROE</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0.1842</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0.1094</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-1.9854</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0.9020</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1125</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P/B</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3.8519</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3.1901</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-23.0213</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22.5357</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1125</w:t>
            </w:r>
          </w:p>
        </w:tc>
      </w:tr>
      <w:tr w:rsidR="00D24ED3" w:rsidRPr="00C43E64" w:rsidTr="00CF399E">
        <w:tc>
          <w:tcPr>
            <w:tcW w:w="1644"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1106"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ΔPB</w:t>
            </w:r>
          </w:p>
        </w:tc>
        <w:tc>
          <w:tcPr>
            <w:tcW w:w="1006"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-0.0085</w:t>
            </w:r>
          </w:p>
        </w:tc>
        <w:tc>
          <w:tcPr>
            <w:tcW w:w="1072"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2.1253</w:t>
            </w:r>
          </w:p>
        </w:tc>
        <w:tc>
          <w:tcPr>
            <w:tcW w:w="1205"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-30.1770</w:t>
            </w:r>
          </w:p>
        </w:tc>
        <w:tc>
          <w:tcPr>
            <w:tcW w:w="1250"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41.4960</w:t>
            </w:r>
          </w:p>
        </w:tc>
        <w:tc>
          <w:tcPr>
            <w:tcW w:w="774"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1125</w:t>
            </w:r>
          </w:p>
        </w:tc>
      </w:tr>
      <w:tr w:rsidR="00D24ED3" w:rsidRPr="00C43E64" w:rsidTr="00CF399E">
        <w:tc>
          <w:tcPr>
            <w:tcW w:w="1644" w:type="dxa"/>
            <w:vMerge w:val="restart"/>
            <w:tcBorders>
              <w:top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Mid Cap</w:t>
            </w:r>
          </w:p>
        </w:tc>
        <w:tc>
          <w:tcPr>
            <w:tcW w:w="1106"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RET</w:t>
            </w:r>
          </w:p>
        </w:tc>
        <w:tc>
          <w:tcPr>
            <w:tcW w:w="1006"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0.1234</w:t>
            </w:r>
          </w:p>
        </w:tc>
        <w:tc>
          <w:tcPr>
            <w:tcW w:w="1072"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0.4447</w:t>
            </w:r>
          </w:p>
        </w:tc>
        <w:tc>
          <w:tcPr>
            <w:tcW w:w="1205"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-0.9199</w:t>
            </w:r>
          </w:p>
        </w:tc>
        <w:tc>
          <w:tcPr>
            <w:tcW w:w="1250"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7.3586</w:t>
            </w:r>
          </w:p>
        </w:tc>
        <w:tc>
          <w:tcPr>
            <w:tcW w:w="774"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8124</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GiE</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0.1866</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0.8581</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-1.0000</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10.2222</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8124</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ROE</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0.1539</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0.3246</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-4.4923</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16.8492</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8124</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P/B</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2.5940</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5.0762</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-78.5269</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257.9576</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8124</w:t>
            </w:r>
          </w:p>
        </w:tc>
      </w:tr>
      <w:tr w:rsidR="00D24ED3" w:rsidRPr="00C43E64" w:rsidTr="00CF399E">
        <w:tc>
          <w:tcPr>
            <w:tcW w:w="1644"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1106"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ΔPB</w:t>
            </w:r>
          </w:p>
        </w:tc>
        <w:tc>
          <w:tcPr>
            <w:tcW w:w="1006"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-0.0261</w:t>
            </w:r>
          </w:p>
        </w:tc>
        <w:tc>
          <w:tcPr>
            <w:tcW w:w="1072"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5.9525</w:t>
            </w:r>
          </w:p>
        </w:tc>
        <w:tc>
          <w:tcPr>
            <w:tcW w:w="1205"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-207.1134</w:t>
            </w:r>
          </w:p>
        </w:tc>
        <w:tc>
          <w:tcPr>
            <w:tcW w:w="1250"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233.1386</w:t>
            </w:r>
          </w:p>
        </w:tc>
        <w:tc>
          <w:tcPr>
            <w:tcW w:w="774"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8124</w:t>
            </w:r>
          </w:p>
        </w:tc>
      </w:tr>
      <w:tr w:rsidR="00D24ED3" w:rsidRPr="00C43E64" w:rsidTr="00CF399E">
        <w:tc>
          <w:tcPr>
            <w:tcW w:w="1644" w:type="dxa"/>
            <w:vMerge w:val="restart"/>
            <w:tcBorders>
              <w:top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Small Cap</w:t>
            </w:r>
          </w:p>
        </w:tc>
        <w:tc>
          <w:tcPr>
            <w:tcW w:w="1106"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RET</w:t>
            </w:r>
          </w:p>
        </w:tc>
        <w:tc>
          <w:tcPr>
            <w:tcW w:w="1006"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0.1429</w:t>
            </w:r>
          </w:p>
        </w:tc>
        <w:tc>
          <w:tcPr>
            <w:tcW w:w="1072"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0.5464</w:t>
            </w:r>
          </w:p>
        </w:tc>
        <w:tc>
          <w:tcPr>
            <w:tcW w:w="1205"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-0.9195</w:t>
            </w:r>
          </w:p>
        </w:tc>
        <w:tc>
          <w:tcPr>
            <w:tcW w:w="1250"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8.6585</w:t>
            </w:r>
          </w:p>
        </w:tc>
        <w:tc>
          <w:tcPr>
            <w:tcW w:w="774"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9560</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GiE</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0.2175</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0.9572</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-1.0000</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10.3750</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9560</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ROE</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0.1329</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0.1860</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-11.5953</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4.3745</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9560</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P/B</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2.2309</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3.1309</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-163.6220</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66.5970</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9560</w:t>
            </w:r>
          </w:p>
        </w:tc>
      </w:tr>
      <w:tr w:rsidR="00D24ED3" w:rsidRPr="00C43E64" w:rsidTr="00CF399E">
        <w:tc>
          <w:tcPr>
            <w:tcW w:w="1644"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1106"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ΔPB</w:t>
            </w:r>
          </w:p>
        </w:tc>
        <w:tc>
          <w:tcPr>
            <w:tcW w:w="1006"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-0.1297</w:t>
            </w:r>
          </w:p>
        </w:tc>
        <w:tc>
          <w:tcPr>
            <w:tcW w:w="1072"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3.3659</w:t>
            </w:r>
          </w:p>
        </w:tc>
        <w:tc>
          <w:tcPr>
            <w:tcW w:w="1205"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-149.9616</w:t>
            </w:r>
          </w:p>
        </w:tc>
        <w:tc>
          <w:tcPr>
            <w:tcW w:w="1250"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97.6216</w:t>
            </w:r>
          </w:p>
        </w:tc>
        <w:tc>
          <w:tcPr>
            <w:tcW w:w="774"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9560</w:t>
            </w:r>
          </w:p>
        </w:tc>
      </w:tr>
      <w:tr w:rsidR="00D24ED3" w:rsidRPr="00C43E64" w:rsidTr="00CF399E">
        <w:tc>
          <w:tcPr>
            <w:tcW w:w="1644" w:type="dxa"/>
            <w:vMerge w:val="restart"/>
            <w:tcBorders>
              <w:top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1500</w:t>
            </w:r>
          </w:p>
        </w:tc>
        <w:tc>
          <w:tcPr>
            <w:tcW w:w="1106"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RET</w:t>
            </w:r>
          </w:p>
        </w:tc>
        <w:tc>
          <w:tcPr>
            <w:tcW w:w="1006"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0.1210</w:t>
            </w:r>
          </w:p>
        </w:tc>
        <w:tc>
          <w:tcPr>
            <w:tcW w:w="1072"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0.4612</w:t>
            </w:r>
          </w:p>
        </w:tc>
        <w:tc>
          <w:tcPr>
            <w:tcW w:w="1205"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-0.9547</w:t>
            </w:r>
          </w:p>
        </w:tc>
        <w:tc>
          <w:tcPr>
            <w:tcW w:w="1250"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8.6585</w:t>
            </w:r>
          </w:p>
        </w:tc>
        <w:tc>
          <w:tcPr>
            <w:tcW w:w="774" w:type="dxa"/>
            <w:tcBorders>
              <w:top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30432</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GiE</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0.1776</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0.8496</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-1.0000</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10.3750</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30432</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ROE</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0.1521</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0.2812</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-11.5953</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16.8492</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30432</w:t>
            </w:r>
          </w:p>
        </w:tc>
      </w:tr>
      <w:tr w:rsidR="00D24ED3" w:rsidRPr="00C43E64" w:rsidTr="00CF399E">
        <w:tc>
          <w:tcPr>
            <w:tcW w:w="1644" w:type="dxa"/>
            <w:vMerge/>
            <w:vAlign w:val="center"/>
          </w:tcPr>
          <w:p w:rsidR="00D24ED3" w:rsidRPr="00C43E64" w:rsidRDefault="00D24ED3" w:rsidP="00A9076D">
            <w:pPr>
              <w:jc w:val="center"/>
              <w:rPr>
                <w:rFonts w:ascii="Times New Roman" w:hAnsi="Times New Roman" w:cs="Times New Roman"/>
                <w:b/>
                <w:sz w:val="20"/>
                <w:szCs w:val="20"/>
              </w:rPr>
            </w:pPr>
          </w:p>
        </w:tc>
        <w:tc>
          <w:tcPr>
            <w:tcW w:w="11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P/B</w:t>
            </w:r>
          </w:p>
        </w:tc>
        <w:tc>
          <w:tcPr>
            <w:tcW w:w="1006"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2.6912</w:t>
            </w:r>
          </w:p>
        </w:tc>
        <w:tc>
          <w:tcPr>
            <w:tcW w:w="1072"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5.2959</w:t>
            </w:r>
          </w:p>
        </w:tc>
        <w:tc>
          <w:tcPr>
            <w:tcW w:w="1205"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-280.4389</w:t>
            </w:r>
          </w:p>
        </w:tc>
        <w:tc>
          <w:tcPr>
            <w:tcW w:w="1250"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257.9576</w:t>
            </w:r>
          </w:p>
        </w:tc>
        <w:tc>
          <w:tcPr>
            <w:tcW w:w="774" w:type="dxa"/>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30432</w:t>
            </w:r>
          </w:p>
        </w:tc>
      </w:tr>
      <w:tr w:rsidR="00D24ED3" w:rsidRPr="00C43E64" w:rsidTr="00CF399E">
        <w:tc>
          <w:tcPr>
            <w:tcW w:w="1644"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1106"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ΔPB</w:t>
            </w:r>
          </w:p>
        </w:tc>
        <w:tc>
          <w:tcPr>
            <w:tcW w:w="1006"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-0.0837</w:t>
            </w:r>
          </w:p>
        </w:tc>
        <w:tc>
          <w:tcPr>
            <w:tcW w:w="1072"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6.0315</w:t>
            </w:r>
          </w:p>
        </w:tc>
        <w:tc>
          <w:tcPr>
            <w:tcW w:w="1205"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-261.6387</w:t>
            </w:r>
          </w:p>
        </w:tc>
        <w:tc>
          <w:tcPr>
            <w:tcW w:w="1250"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270.6584</w:t>
            </w:r>
          </w:p>
        </w:tc>
        <w:tc>
          <w:tcPr>
            <w:tcW w:w="774" w:type="dxa"/>
            <w:tcBorders>
              <w:bottom w:val="single" w:sz="4" w:space="0" w:color="auto"/>
            </w:tcBorders>
            <w:vAlign w:val="center"/>
          </w:tcPr>
          <w:p w:rsidR="00D24ED3" w:rsidRPr="00C43E64" w:rsidRDefault="00D24ED3" w:rsidP="00A9076D">
            <w:pPr>
              <w:jc w:val="right"/>
              <w:rPr>
                <w:rFonts w:ascii="Times New Roman" w:hAnsi="Times New Roman" w:cs="Times New Roman"/>
                <w:sz w:val="20"/>
                <w:szCs w:val="20"/>
              </w:rPr>
            </w:pPr>
            <w:r w:rsidRPr="00C43E64">
              <w:rPr>
                <w:rFonts w:ascii="Times New Roman" w:hAnsi="Times New Roman" w:cs="Times New Roman"/>
                <w:sz w:val="20"/>
                <w:szCs w:val="20"/>
              </w:rPr>
              <w:t>30432</w:t>
            </w:r>
          </w:p>
        </w:tc>
      </w:tr>
    </w:tbl>
    <w:p w:rsidR="00D24ED3" w:rsidRPr="00C43E64" w:rsidRDefault="00D24ED3" w:rsidP="00A9076D">
      <w:pPr>
        <w:spacing w:after="0" w:line="240" w:lineRule="auto"/>
        <w:rPr>
          <w:rFonts w:ascii="Times New Roman" w:hAnsi="Times New Roman" w:cs="Times New Roman"/>
          <w:sz w:val="20"/>
          <w:szCs w:val="20"/>
        </w:rPr>
      </w:pPr>
    </w:p>
    <w:p w:rsidR="00D24ED3" w:rsidRPr="00C43E64" w:rsidRDefault="00D24ED3" w:rsidP="00A9076D">
      <w:pPr>
        <w:spacing w:after="0" w:line="240" w:lineRule="auto"/>
        <w:rPr>
          <w:rFonts w:ascii="Times New Roman" w:hAnsi="Times New Roman" w:cs="Times New Roman"/>
          <w:b/>
          <w:sz w:val="20"/>
          <w:szCs w:val="20"/>
        </w:rPr>
      </w:pPr>
      <w:r w:rsidRPr="00C43E64">
        <w:rPr>
          <w:rFonts w:ascii="Times New Roman" w:hAnsi="Times New Roman" w:cs="Times New Roman"/>
          <w:b/>
          <w:sz w:val="20"/>
          <w:szCs w:val="20"/>
        </w:rPr>
        <w:br w:type="page"/>
      </w:r>
    </w:p>
    <w:p w:rsidR="00D24ED3" w:rsidRPr="00C43E64" w:rsidRDefault="00B64AE0" w:rsidP="00A9076D">
      <w:pPr>
        <w:spacing w:after="0" w:line="240" w:lineRule="auto"/>
        <w:rPr>
          <w:rFonts w:ascii="Times New Roman" w:hAnsi="Times New Roman" w:cs="Times New Roman"/>
          <w:b/>
          <w:sz w:val="20"/>
          <w:szCs w:val="20"/>
        </w:rPr>
      </w:pPr>
      <w:r w:rsidRPr="00C43E64">
        <w:rPr>
          <w:rFonts w:ascii="Times New Roman" w:hAnsi="Times New Roman" w:cs="Times New Roman"/>
          <w:b/>
          <w:sz w:val="20"/>
          <w:szCs w:val="20"/>
        </w:rPr>
        <w:lastRenderedPageBreak/>
        <w:t>Table</w:t>
      </w:r>
      <w:r w:rsidR="006B77AC" w:rsidRPr="00C43E64">
        <w:rPr>
          <w:rFonts w:ascii="Times New Roman" w:hAnsi="Times New Roman" w:cs="Times New Roman"/>
          <w:b/>
          <w:sz w:val="20"/>
          <w:szCs w:val="20"/>
        </w:rPr>
        <w:t xml:space="preserve"> 2</w:t>
      </w:r>
      <w:r w:rsidR="00D24ED3" w:rsidRPr="00C43E64">
        <w:rPr>
          <w:rFonts w:ascii="Times New Roman" w:hAnsi="Times New Roman" w:cs="Times New Roman"/>
          <w:b/>
          <w:sz w:val="20"/>
          <w:szCs w:val="20"/>
        </w:rPr>
        <w:t>. Contemporaneous Portfolio Return Analysis</w:t>
      </w:r>
    </w:p>
    <w:p w:rsidR="00D24ED3" w:rsidRPr="00C43E64" w:rsidRDefault="00D24ED3" w:rsidP="00A9076D">
      <w:pPr>
        <w:spacing w:after="0" w:line="240" w:lineRule="auto"/>
        <w:rPr>
          <w:rFonts w:ascii="Times New Roman" w:hAnsi="Times New Roman" w:cs="Times New Roman"/>
          <w:b/>
          <w:sz w:val="20"/>
          <w:szCs w:val="20"/>
        </w:rPr>
      </w:pPr>
    </w:p>
    <w:p w:rsidR="00D24ED3" w:rsidRPr="00C43E64" w:rsidRDefault="00D24ED3" w:rsidP="00A9076D">
      <w:pPr>
        <w:spacing w:after="0" w:line="240" w:lineRule="auto"/>
        <w:jc w:val="both"/>
        <w:rPr>
          <w:rFonts w:ascii="Times New Roman" w:hAnsi="Times New Roman" w:cs="Times New Roman"/>
          <w:sz w:val="20"/>
          <w:szCs w:val="20"/>
        </w:rPr>
      </w:pPr>
      <w:r w:rsidRPr="00C43E64">
        <w:rPr>
          <w:rFonts w:ascii="Times New Roman" w:hAnsi="Times New Roman" w:cs="Times New Roman"/>
          <w:sz w:val="20"/>
          <w:szCs w:val="20"/>
        </w:rPr>
        <w:t xml:space="preserve">This table contains the portfolio performance and risk of the four value determinants for different market indexes. The mean and standard deviation (STD) of stock returns measure the performance and risk respectively. The coefficient of variation (CV) is used as a risk-adjusted measure of portfolio performance. In each year, the stock returns with respect to the four value determinants are ranked into quintile portfolios ordering from the smallest size portfolio including stock returns in the bottom 20% of the return distribution to the largest size portfolio containing those in the top 20%. </w:t>
      </w:r>
    </w:p>
    <w:p w:rsidR="00D24ED3" w:rsidRPr="00C43E64" w:rsidRDefault="00D24ED3" w:rsidP="00A9076D">
      <w:pPr>
        <w:spacing w:after="0" w:line="240" w:lineRule="auto"/>
        <w:rPr>
          <w:rFonts w:ascii="Times New Roman" w:hAnsi="Times New Roman" w:cs="Times New Roman"/>
          <w:sz w:val="20"/>
          <w:szCs w:val="20"/>
        </w:rPr>
      </w:pPr>
    </w:p>
    <w:tbl>
      <w:tblPr>
        <w:tblW w:w="8751" w:type="dxa"/>
        <w:tblInd w:w="93" w:type="dxa"/>
        <w:tblLook w:val="04A0" w:firstRow="1" w:lastRow="0" w:firstColumn="1" w:lastColumn="0" w:noHBand="0" w:noVBand="1"/>
      </w:tblPr>
      <w:tblGrid>
        <w:gridCol w:w="1644"/>
        <w:gridCol w:w="1451"/>
        <w:gridCol w:w="1301"/>
        <w:gridCol w:w="1000"/>
        <w:gridCol w:w="1308"/>
        <w:gridCol w:w="1301"/>
        <w:gridCol w:w="746"/>
      </w:tblGrid>
      <w:tr w:rsidR="00D24ED3" w:rsidRPr="00C43E64" w:rsidTr="00CF399E">
        <w:trPr>
          <w:trHeight w:val="300"/>
        </w:trPr>
        <w:tc>
          <w:tcPr>
            <w:tcW w:w="1644"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sz w:val="20"/>
                <w:szCs w:val="20"/>
              </w:rPr>
            </w:pPr>
            <w:r w:rsidRPr="00C43E64">
              <w:rPr>
                <w:rFonts w:ascii="Times New Roman" w:eastAsia="Times New Roman" w:hAnsi="Times New Roman" w:cs="Times New Roman"/>
                <w:b/>
                <w:sz w:val="20"/>
                <w:szCs w:val="20"/>
              </w:rPr>
              <w:t>Index</w:t>
            </w:r>
          </w:p>
        </w:tc>
        <w:tc>
          <w:tcPr>
            <w:tcW w:w="145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sz w:val="20"/>
                <w:szCs w:val="20"/>
              </w:rPr>
            </w:pPr>
            <w:r w:rsidRPr="00C43E64">
              <w:rPr>
                <w:rFonts w:ascii="Times New Roman" w:eastAsia="Times New Roman" w:hAnsi="Times New Roman" w:cs="Times New Roman"/>
                <w:b/>
                <w:sz w:val="20"/>
                <w:szCs w:val="20"/>
              </w:rPr>
              <w:t>Portfolio</w:t>
            </w: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GiE</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ROE</w:t>
            </w:r>
          </w:p>
        </w:tc>
        <w:tc>
          <w:tcPr>
            <w:tcW w:w="1308"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PB</w:t>
            </w: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ΔPB</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r>
      <w:tr w:rsidR="00D24ED3" w:rsidRPr="00C43E64" w:rsidTr="00CF399E">
        <w:trPr>
          <w:trHeight w:val="300"/>
        </w:trPr>
        <w:tc>
          <w:tcPr>
            <w:tcW w:w="1644"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DJIA</w:t>
            </w:r>
          </w:p>
        </w:tc>
        <w:tc>
          <w:tcPr>
            <w:tcW w:w="1451"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Top 20%</w:t>
            </w:r>
          </w:p>
        </w:tc>
        <w:tc>
          <w:tcPr>
            <w:tcW w:w="1301"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0.2669</w:t>
            </w:r>
          </w:p>
        </w:tc>
        <w:tc>
          <w:tcPr>
            <w:tcW w:w="100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0.0823</w:t>
            </w:r>
            <w:r w:rsidRPr="00C43E64">
              <w:rPr>
                <w:rFonts w:ascii="Times New Roman" w:eastAsia="Times New Roman" w:hAnsi="Times New Roman" w:cs="Times New Roman"/>
                <w:sz w:val="20"/>
                <w:szCs w:val="20"/>
                <w:vertAlign w:val="superscript"/>
              </w:rPr>
              <w:t>a</w:t>
            </w:r>
          </w:p>
        </w:tc>
        <w:tc>
          <w:tcPr>
            <w:tcW w:w="1308"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0.1191</w:t>
            </w:r>
            <w:r w:rsidRPr="00C43E64">
              <w:rPr>
                <w:rFonts w:ascii="Times New Roman" w:eastAsia="Times New Roman" w:hAnsi="Times New Roman" w:cs="Times New Roman"/>
                <w:sz w:val="20"/>
                <w:szCs w:val="20"/>
                <w:vertAlign w:val="superscript"/>
              </w:rPr>
              <w:t>a</w:t>
            </w:r>
          </w:p>
        </w:tc>
        <w:tc>
          <w:tcPr>
            <w:tcW w:w="1301"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0.3382</w:t>
            </w:r>
          </w:p>
        </w:tc>
        <w:tc>
          <w:tcPr>
            <w:tcW w:w="746"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0.3817</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0.4280</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0.4303</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0.4324</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0.6991</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0.1924</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0.2767</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0.7823</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val="restart"/>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Bottom 20%</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-0.1642</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0.0676</w:t>
            </w:r>
            <w:r w:rsidRPr="00C43E64">
              <w:rPr>
                <w:rFonts w:ascii="Times New Roman" w:eastAsia="Times New Roman" w:hAnsi="Times New Roman" w:cs="Times New Roman"/>
                <w:sz w:val="20"/>
                <w:szCs w:val="20"/>
                <w:vertAlign w:val="superscript"/>
              </w:rPr>
              <w:t>a</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0.0458</w:t>
            </w:r>
            <w:r w:rsidRPr="00C43E64">
              <w:rPr>
                <w:rFonts w:ascii="Times New Roman" w:eastAsia="Times New Roman" w:hAnsi="Times New Roman" w:cs="Times New Roman"/>
                <w:sz w:val="20"/>
                <w:szCs w:val="20"/>
                <w:vertAlign w:val="superscript"/>
              </w:rPr>
              <w:t>a</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-0.1726</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0.3794</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0.3420</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0.3227</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0.2384</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-0.4329 (0)</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0.1975</w:t>
            </w:r>
          </w:p>
        </w:tc>
        <w:tc>
          <w:tcPr>
            <w:tcW w:w="1308"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0.1421</w:t>
            </w: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-0.7243 (0)</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S&amp;P Mid Cap</w:t>
            </w:r>
          </w:p>
        </w:tc>
        <w:tc>
          <w:tcPr>
            <w:tcW w:w="1451"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Top 20%</w:t>
            </w:r>
          </w:p>
        </w:tc>
        <w:tc>
          <w:tcPr>
            <w:tcW w:w="1301"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0.3602</w:t>
            </w:r>
          </w:p>
        </w:tc>
        <w:tc>
          <w:tcPr>
            <w:tcW w:w="100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0.1684</w:t>
            </w:r>
          </w:p>
        </w:tc>
        <w:tc>
          <w:tcPr>
            <w:tcW w:w="1308"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0.2524</w:t>
            </w:r>
          </w:p>
        </w:tc>
        <w:tc>
          <w:tcPr>
            <w:tcW w:w="1301"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0.5268</w:t>
            </w:r>
          </w:p>
        </w:tc>
        <w:tc>
          <w:tcPr>
            <w:tcW w:w="746"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0.6163</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0.5600</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0.6094</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0.6402</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0.5845</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0.3007</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0.4142</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0.8228</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val="restart"/>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Bottom 20%</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-0.1014</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0.0664</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0.0097</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-0.1898</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0.3783</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0.3950</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0.3344</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0.2777</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-0.2682 (0)</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0.1682</w:t>
            </w:r>
          </w:p>
        </w:tc>
        <w:tc>
          <w:tcPr>
            <w:tcW w:w="1308"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0.0290</w:t>
            </w: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-0.6834 (0)</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S&amp;P Small Cap</w:t>
            </w:r>
          </w:p>
        </w:tc>
        <w:tc>
          <w:tcPr>
            <w:tcW w:w="1451"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Top 20%</w:t>
            </w:r>
          </w:p>
        </w:tc>
        <w:tc>
          <w:tcPr>
            <w:tcW w:w="1301"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0.4817</w:t>
            </w:r>
          </w:p>
        </w:tc>
        <w:tc>
          <w:tcPr>
            <w:tcW w:w="100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0.2454</w:t>
            </w:r>
          </w:p>
        </w:tc>
        <w:tc>
          <w:tcPr>
            <w:tcW w:w="1308"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0.3526</w:t>
            </w:r>
          </w:p>
        </w:tc>
        <w:tc>
          <w:tcPr>
            <w:tcW w:w="1301"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0.6830</w:t>
            </w:r>
          </w:p>
        </w:tc>
        <w:tc>
          <w:tcPr>
            <w:tcW w:w="746"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0.7955</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0.6967</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0.7931</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0.8130</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0.6055</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0.3522</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0.4446</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0.8401</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val="restart"/>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Bottom 20%</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-0.1248</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0.0262</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-0.0170</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-0.2342</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0.4195</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0.4947</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0.4362</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0.3006</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-0.2975 (0)</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0.0530</w:t>
            </w:r>
          </w:p>
        </w:tc>
        <w:tc>
          <w:tcPr>
            <w:tcW w:w="1308"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-0.0389 (0)</w:t>
            </w: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-0.7792 (0)</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S&amp;P 1500</w:t>
            </w:r>
          </w:p>
        </w:tc>
        <w:tc>
          <w:tcPr>
            <w:tcW w:w="1451"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Top 20%</w:t>
            </w:r>
          </w:p>
        </w:tc>
        <w:tc>
          <w:tcPr>
            <w:tcW w:w="1301"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0.3782</w:t>
            </w:r>
          </w:p>
        </w:tc>
        <w:tc>
          <w:tcPr>
            <w:tcW w:w="100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0.1734</w:t>
            </w:r>
          </w:p>
        </w:tc>
        <w:tc>
          <w:tcPr>
            <w:tcW w:w="1308"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0.2223</w:t>
            </w:r>
          </w:p>
        </w:tc>
        <w:tc>
          <w:tcPr>
            <w:tcW w:w="1301"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0.5223</w:t>
            </w:r>
          </w:p>
        </w:tc>
        <w:tc>
          <w:tcPr>
            <w:tcW w:w="746"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0.6407</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0.5554</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0.6079</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0.6704</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0.5902</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0.3122</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0.3658</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0.7792</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451" w:type="dxa"/>
            <w:vMerge w:val="restart"/>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Bottom 20%</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-0.1263</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0.0578</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0.0143</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-0.1904</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c>
          <w:tcPr>
            <w:tcW w:w="1451"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0.3820</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0.4491</w:t>
            </w:r>
          </w:p>
        </w:tc>
        <w:tc>
          <w:tcPr>
            <w:tcW w:w="1308"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0.3754</w:t>
            </w:r>
          </w:p>
        </w:tc>
        <w:tc>
          <w:tcPr>
            <w:tcW w:w="1301"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0.2862</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c>
          <w:tcPr>
            <w:tcW w:w="1451"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-0.3307 (0)</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0.1287</w:t>
            </w:r>
          </w:p>
        </w:tc>
        <w:tc>
          <w:tcPr>
            <w:tcW w:w="1308"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0.0381</w:t>
            </w:r>
          </w:p>
        </w:tc>
        <w:tc>
          <w:tcPr>
            <w:tcW w:w="1301"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-0.6653 (0)</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bl>
    <w:p w:rsidR="00D24ED3" w:rsidRPr="00C43E64" w:rsidRDefault="00D24ED3" w:rsidP="00A9076D">
      <w:pPr>
        <w:spacing w:after="0" w:line="240" w:lineRule="auto"/>
        <w:rPr>
          <w:rFonts w:ascii="Times New Roman" w:hAnsi="Times New Roman" w:cs="Times New Roman"/>
          <w:sz w:val="20"/>
          <w:szCs w:val="20"/>
        </w:rPr>
      </w:pPr>
      <w:r w:rsidRPr="00C43E64">
        <w:rPr>
          <w:rFonts w:ascii="Times New Roman" w:hAnsi="Times New Roman" w:cs="Times New Roman"/>
          <w:sz w:val="20"/>
          <w:szCs w:val="20"/>
          <w:vertAlign w:val="superscript"/>
        </w:rPr>
        <w:t>a</w:t>
      </w:r>
      <w:r w:rsidRPr="00C43E64">
        <w:rPr>
          <w:rFonts w:ascii="Times New Roman" w:hAnsi="Times New Roman" w:cs="Times New Roman"/>
          <w:sz w:val="20"/>
          <w:szCs w:val="20"/>
        </w:rPr>
        <w:t xml:space="preserve"> The Bonferroni t test, Scheffé’s multiple-comparison, and Tukey’s studentized range test all indicate that the mean differences between the top and bottom portfolios for these cases are not statistically significant at the conventional significance levels. </w:t>
      </w:r>
    </w:p>
    <w:p w:rsidR="00A9076D" w:rsidRPr="00C43E64" w:rsidRDefault="00A9076D">
      <w:pPr>
        <w:rPr>
          <w:rFonts w:ascii="Times New Roman" w:hAnsi="Times New Roman" w:cs="Times New Roman"/>
          <w:b/>
          <w:sz w:val="20"/>
          <w:szCs w:val="20"/>
        </w:rPr>
      </w:pPr>
      <w:r w:rsidRPr="00C43E64">
        <w:rPr>
          <w:rFonts w:ascii="Times New Roman" w:hAnsi="Times New Roman" w:cs="Times New Roman"/>
          <w:b/>
          <w:sz w:val="20"/>
          <w:szCs w:val="20"/>
        </w:rPr>
        <w:br w:type="page"/>
      </w:r>
    </w:p>
    <w:p w:rsidR="00D24ED3" w:rsidRPr="00C43E64" w:rsidRDefault="00B64AE0" w:rsidP="00A9076D">
      <w:pPr>
        <w:spacing w:after="0" w:line="240" w:lineRule="auto"/>
        <w:rPr>
          <w:rFonts w:ascii="Times New Roman" w:hAnsi="Times New Roman" w:cs="Times New Roman"/>
          <w:b/>
          <w:sz w:val="20"/>
          <w:szCs w:val="20"/>
        </w:rPr>
      </w:pPr>
      <w:r w:rsidRPr="00C43E64">
        <w:rPr>
          <w:rFonts w:ascii="Times New Roman" w:hAnsi="Times New Roman" w:cs="Times New Roman"/>
          <w:b/>
          <w:sz w:val="20"/>
          <w:szCs w:val="20"/>
        </w:rPr>
        <w:lastRenderedPageBreak/>
        <w:t>Table</w:t>
      </w:r>
      <w:r w:rsidR="006B77AC" w:rsidRPr="00C43E64">
        <w:rPr>
          <w:rFonts w:ascii="Times New Roman" w:hAnsi="Times New Roman" w:cs="Times New Roman"/>
          <w:b/>
          <w:sz w:val="20"/>
          <w:szCs w:val="20"/>
        </w:rPr>
        <w:t xml:space="preserve"> 3</w:t>
      </w:r>
      <w:r w:rsidR="00D24ED3" w:rsidRPr="00C43E64">
        <w:rPr>
          <w:rFonts w:ascii="Times New Roman" w:hAnsi="Times New Roman" w:cs="Times New Roman"/>
          <w:b/>
          <w:sz w:val="20"/>
          <w:szCs w:val="20"/>
        </w:rPr>
        <w:t>. Proxy Portfolio Returns of Value Determinants</w:t>
      </w:r>
    </w:p>
    <w:p w:rsidR="00D24ED3" w:rsidRPr="00C43E64" w:rsidRDefault="00D24ED3" w:rsidP="00A9076D">
      <w:pPr>
        <w:spacing w:after="0" w:line="240" w:lineRule="auto"/>
        <w:rPr>
          <w:rFonts w:ascii="Times New Roman" w:hAnsi="Times New Roman" w:cs="Times New Roman"/>
          <w:b/>
          <w:sz w:val="20"/>
          <w:szCs w:val="20"/>
        </w:rPr>
      </w:pPr>
    </w:p>
    <w:p w:rsidR="00D24ED3" w:rsidRPr="00C43E64" w:rsidRDefault="00D24ED3" w:rsidP="00A9076D">
      <w:pPr>
        <w:spacing w:after="0" w:line="240" w:lineRule="auto"/>
        <w:jc w:val="both"/>
        <w:rPr>
          <w:rFonts w:ascii="Times New Roman" w:hAnsi="Times New Roman" w:cs="Times New Roman"/>
          <w:sz w:val="20"/>
          <w:szCs w:val="20"/>
        </w:rPr>
      </w:pPr>
      <w:r w:rsidRPr="00C43E64">
        <w:rPr>
          <w:rFonts w:ascii="Times New Roman" w:hAnsi="Times New Roman" w:cs="Times New Roman"/>
          <w:sz w:val="20"/>
          <w:szCs w:val="20"/>
        </w:rPr>
        <w:t xml:space="preserve">Based on the most recent fiscal year-end values of the four value determinants, quintile portfolios are formed. The table provides a summary of the mean, standard deviation (STD), and coefficient of variation (CV) of one-year ahead stock returns for the portfolios. The bottom 20% portfolio includes observations in the bottom 20% of the return distribution and the top 20% comprises the top 20% of the same distribution.       </w:t>
      </w:r>
    </w:p>
    <w:p w:rsidR="00D24ED3" w:rsidRPr="00C43E64" w:rsidRDefault="00D24ED3" w:rsidP="00A9076D">
      <w:pPr>
        <w:spacing w:after="0" w:line="240" w:lineRule="auto"/>
        <w:rPr>
          <w:rFonts w:ascii="Times New Roman" w:hAnsi="Times New Roman" w:cs="Times New Roman"/>
          <w:sz w:val="20"/>
          <w:szCs w:val="20"/>
        </w:rPr>
      </w:pPr>
    </w:p>
    <w:tbl>
      <w:tblPr>
        <w:tblW w:w="8167" w:type="dxa"/>
        <w:tblInd w:w="93" w:type="dxa"/>
        <w:tblLook w:val="04A0" w:firstRow="1" w:lastRow="0" w:firstColumn="1" w:lastColumn="0" w:noHBand="0" w:noVBand="1"/>
      </w:tblPr>
      <w:tblGrid>
        <w:gridCol w:w="1644"/>
        <w:gridCol w:w="1657"/>
        <w:gridCol w:w="960"/>
        <w:gridCol w:w="1000"/>
        <w:gridCol w:w="1140"/>
        <w:gridCol w:w="1020"/>
        <w:gridCol w:w="746"/>
      </w:tblGrid>
      <w:tr w:rsidR="00D24ED3" w:rsidRPr="00C43E64" w:rsidTr="00CF399E">
        <w:trPr>
          <w:trHeight w:val="300"/>
        </w:trPr>
        <w:tc>
          <w:tcPr>
            <w:tcW w:w="1644"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sz w:val="20"/>
                <w:szCs w:val="20"/>
              </w:rPr>
            </w:pPr>
            <w:r w:rsidRPr="00C43E64">
              <w:rPr>
                <w:rFonts w:ascii="Times New Roman" w:eastAsia="Times New Roman" w:hAnsi="Times New Roman" w:cs="Times New Roman"/>
                <w:b/>
                <w:sz w:val="20"/>
                <w:szCs w:val="20"/>
              </w:rPr>
              <w:t>Index</w:t>
            </w:r>
          </w:p>
        </w:tc>
        <w:tc>
          <w:tcPr>
            <w:tcW w:w="1657"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sz w:val="20"/>
                <w:szCs w:val="20"/>
              </w:rPr>
            </w:pPr>
            <w:r w:rsidRPr="00C43E64">
              <w:rPr>
                <w:rFonts w:ascii="Times New Roman" w:eastAsia="Times New Roman" w:hAnsi="Times New Roman" w:cs="Times New Roman"/>
                <w:b/>
                <w:sz w:val="20"/>
                <w:szCs w:val="20"/>
              </w:rPr>
              <w:t>Proxy Portfolio</w:t>
            </w:r>
          </w:p>
        </w:tc>
        <w:tc>
          <w:tcPr>
            <w:tcW w:w="96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GiE</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ROE</w:t>
            </w:r>
          </w:p>
        </w:tc>
        <w:tc>
          <w:tcPr>
            <w:tcW w:w="114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PB</w:t>
            </w:r>
          </w:p>
        </w:tc>
        <w:tc>
          <w:tcPr>
            <w:tcW w:w="102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ΔPB</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r>
      <w:tr w:rsidR="00D24ED3" w:rsidRPr="00C43E64" w:rsidTr="00CF399E">
        <w:trPr>
          <w:trHeight w:val="300"/>
        </w:trPr>
        <w:tc>
          <w:tcPr>
            <w:tcW w:w="1644"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DJIA</w:t>
            </w:r>
          </w:p>
        </w:tc>
        <w:tc>
          <w:tcPr>
            <w:tcW w:w="1657"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Top 20%</w:t>
            </w:r>
          </w:p>
        </w:tc>
        <w:tc>
          <w:tcPr>
            <w:tcW w:w="96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0.0529</w:t>
            </w:r>
            <w:r w:rsidRPr="00C43E64">
              <w:rPr>
                <w:rFonts w:ascii="Times New Roman" w:eastAsia="Times New Roman" w:hAnsi="Times New Roman" w:cs="Times New Roman"/>
                <w:sz w:val="20"/>
                <w:szCs w:val="20"/>
                <w:vertAlign w:val="superscript"/>
              </w:rPr>
              <w:t>a</w:t>
            </w:r>
          </w:p>
        </w:tc>
        <w:tc>
          <w:tcPr>
            <w:tcW w:w="100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0.0474</w:t>
            </w:r>
            <w:r w:rsidRPr="00C43E64">
              <w:rPr>
                <w:rFonts w:ascii="Times New Roman" w:eastAsia="Times New Roman" w:hAnsi="Times New Roman" w:cs="Times New Roman"/>
                <w:sz w:val="20"/>
                <w:szCs w:val="20"/>
                <w:vertAlign w:val="superscript"/>
              </w:rPr>
              <w:t>a</w:t>
            </w:r>
          </w:p>
        </w:tc>
        <w:tc>
          <w:tcPr>
            <w:tcW w:w="114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0.2556</w:t>
            </w:r>
          </w:p>
        </w:tc>
        <w:tc>
          <w:tcPr>
            <w:tcW w:w="102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0.2337</w:t>
            </w:r>
          </w:p>
        </w:tc>
        <w:tc>
          <w:tcPr>
            <w:tcW w:w="746"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0.4287</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0.4377</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0.1821</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0.1037</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vertAlign w:val="superscript"/>
              </w:rPr>
            </w:pPr>
            <w:r w:rsidRPr="00C43E64">
              <w:rPr>
                <w:rFonts w:ascii="Times New Roman" w:eastAsia="Times New Roman" w:hAnsi="Times New Roman" w:cs="Times New Roman"/>
                <w:b/>
                <w:i/>
                <w:sz w:val="20"/>
                <w:szCs w:val="20"/>
              </w:rPr>
              <w:t>0.1233</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0.1082</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1.4033</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2.2528</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val="restart"/>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Bottom 20%</w:t>
            </w: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0.1333</w:t>
            </w:r>
            <w:r w:rsidRPr="00C43E64">
              <w:rPr>
                <w:rFonts w:ascii="Times New Roman" w:eastAsia="Times New Roman" w:hAnsi="Times New Roman" w:cs="Times New Roman"/>
                <w:sz w:val="20"/>
                <w:szCs w:val="20"/>
                <w:vertAlign w:val="superscript"/>
              </w:rPr>
              <w:t>a</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0.1192</w:t>
            </w:r>
            <w:r w:rsidRPr="00C43E64">
              <w:rPr>
                <w:rFonts w:ascii="Times New Roman" w:eastAsia="Times New Roman" w:hAnsi="Times New Roman" w:cs="Times New Roman"/>
                <w:sz w:val="20"/>
                <w:szCs w:val="20"/>
                <w:vertAlign w:val="superscript"/>
              </w:rPr>
              <w:t>a</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0.1172</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0.1791</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0.3344</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0.3268</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0.0582</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0.1790</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0.3986</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0.3649</w:t>
            </w:r>
          </w:p>
        </w:tc>
        <w:tc>
          <w:tcPr>
            <w:tcW w:w="114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2.0137</w:t>
            </w:r>
          </w:p>
        </w:tc>
        <w:tc>
          <w:tcPr>
            <w:tcW w:w="102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1.0006</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S&amp;P Mid Cap</w:t>
            </w:r>
          </w:p>
        </w:tc>
        <w:tc>
          <w:tcPr>
            <w:tcW w:w="1657"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Top 20%</w:t>
            </w:r>
          </w:p>
        </w:tc>
        <w:tc>
          <w:tcPr>
            <w:tcW w:w="96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0.1438</w:t>
            </w:r>
            <w:r w:rsidRPr="00C43E64">
              <w:rPr>
                <w:rFonts w:ascii="Times New Roman" w:eastAsia="Times New Roman" w:hAnsi="Times New Roman" w:cs="Times New Roman"/>
                <w:sz w:val="20"/>
                <w:szCs w:val="20"/>
                <w:vertAlign w:val="superscript"/>
              </w:rPr>
              <w:t>a</w:t>
            </w:r>
          </w:p>
        </w:tc>
        <w:tc>
          <w:tcPr>
            <w:tcW w:w="100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0.0875</w:t>
            </w:r>
          </w:p>
        </w:tc>
        <w:tc>
          <w:tcPr>
            <w:tcW w:w="114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0.0195</w:t>
            </w:r>
          </w:p>
        </w:tc>
        <w:tc>
          <w:tcPr>
            <w:tcW w:w="102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0.0293</w:t>
            </w:r>
          </w:p>
        </w:tc>
        <w:tc>
          <w:tcPr>
            <w:tcW w:w="746"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0.5335</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0.4787</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0.4284</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0.4788</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0.2695</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0.1829</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0.0456</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0.0612</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val="restart"/>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Bottom 20%</w:t>
            </w: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0.1684</w:t>
            </w:r>
            <w:r w:rsidRPr="00C43E64">
              <w:rPr>
                <w:rFonts w:ascii="Times New Roman" w:eastAsia="Times New Roman" w:hAnsi="Times New Roman" w:cs="Times New Roman"/>
                <w:sz w:val="20"/>
                <w:szCs w:val="20"/>
                <w:vertAlign w:val="superscript"/>
              </w:rPr>
              <w:t>a</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0.1846</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0.2463</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0.1882</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0.5208</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0.4771</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0.5060</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0.5407</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0.3233</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0.3869</w:t>
            </w:r>
          </w:p>
        </w:tc>
        <w:tc>
          <w:tcPr>
            <w:tcW w:w="114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0.4867</w:t>
            </w:r>
          </w:p>
        </w:tc>
        <w:tc>
          <w:tcPr>
            <w:tcW w:w="102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0.3480</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S&amp;P Small Cap</w:t>
            </w:r>
          </w:p>
        </w:tc>
        <w:tc>
          <w:tcPr>
            <w:tcW w:w="1657"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Top 20%</w:t>
            </w:r>
          </w:p>
        </w:tc>
        <w:tc>
          <w:tcPr>
            <w:tcW w:w="96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0.1720</w:t>
            </w:r>
            <w:r w:rsidRPr="00C43E64">
              <w:rPr>
                <w:rFonts w:ascii="Times New Roman" w:eastAsia="Times New Roman" w:hAnsi="Times New Roman" w:cs="Times New Roman"/>
                <w:sz w:val="20"/>
                <w:szCs w:val="20"/>
                <w:vertAlign w:val="superscript"/>
              </w:rPr>
              <w:t>a</w:t>
            </w:r>
          </w:p>
        </w:tc>
        <w:tc>
          <w:tcPr>
            <w:tcW w:w="100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0.1087</w:t>
            </w:r>
          </w:p>
        </w:tc>
        <w:tc>
          <w:tcPr>
            <w:tcW w:w="114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0.0199</w:t>
            </w:r>
          </w:p>
        </w:tc>
        <w:tc>
          <w:tcPr>
            <w:tcW w:w="102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0.0323</w:t>
            </w:r>
          </w:p>
        </w:tc>
        <w:tc>
          <w:tcPr>
            <w:tcW w:w="746"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0.6463</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0.6214</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0.5459</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0.5880</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0.2661</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0.1749</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0.0364</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0.0549</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val="restart"/>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Bottom 20%</w:t>
            </w: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vertAlign w:val="superscript"/>
              </w:rPr>
            </w:pPr>
            <w:r w:rsidRPr="00C43E64">
              <w:rPr>
                <w:rFonts w:ascii="Times New Roman" w:eastAsia="Times New Roman" w:hAnsi="Times New Roman" w:cs="Times New Roman"/>
                <w:sz w:val="20"/>
                <w:szCs w:val="20"/>
              </w:rPr>
              <w:t>0.2133</w:t>
            </w:r>
            <w:r w:rsidRPr="00C43E64">
              <w:rPr>
                <w:rFonts w:ascii="Times New Roman" w:eastAsia="Times New Roman" w:hAnsi="Times New Roman" w:cs="Times New Roman"/>
                <w:sz w:val="20"/>
                <w:szCs w:val="20"/>
                <w:vertAlign w:val="superscript"/>
              </w:rPr>
              <w:t>a</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0.2340</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0.3340</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0.2049</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0.6462</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0.6299</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0.6879</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0.6720</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0.3300</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0.3715</w:t>
            </w:r>
          </w:p>
        </w:tc>
        <w:tc>
          <w:tcPr>
            <w:tcW w:w="114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0.4855</w:t>
            </w:r>
          </w:p>
        </w:tc>
        <w:tc>
          <w:tcPr>
            <w:tcW w:w="102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0.3049</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S&amp;P 1500</w:t>
            </w:r>
          </w:p>
        </w:tc>
        <w:tc>
          <w:tcPr>
            <w:tcW w:w="1657" w:type="dxa"/>
            <w:vMerge w:val="restart"/>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Top 20%</w:t>
            </w:r>
          </w:p>
        </w:tc>
        <w:tc>
          <w:tcPr>
            <w:tcW w:w="96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0.1295</w:t>
            </w:r>
          </w:p>
        </w:tc>
        <w:tc>
          <w:tcPr>
            <w:tcW w:w="100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0.0907</w:t>
            </w:r>
          </w:p>
        </w:tc>
        <w:tc>
          <w:tcPr>
            <w:tcW w:w="114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0.0297</w:t>
            </w:r>
          </w:p>
        </w:tc>
        <w:tc>
          <w:tcPr>
            <w:tcW w:w="1020"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0.0266</w:t>
            </w:r>
          </w:p>
        </w:tc>
        <w:tc>
          <w:tcPr>
            <w:tcW w:w="746" w:type="dxa"/>
            <w:tcBorders>
              <w:top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0.5435</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0.5014</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0.4418</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0.4910</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0.2383</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0.1809</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0.0672</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0.0542</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p>
        </w:tc>
        <w:tc>
          <w:tcPr>
            <w:tcW w:w="1657" w:type="dxa"/>
            <w:vMerge w:val="restart"/>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Cs/>
                <w:sz w:val="20"/>
                <w:szCs w:val="20"/>
              </w:rPr>
            </w:pPr>
            <w:r w:rsidRPr="00C43E64">
              <w:rPr>
                <w:rFonts w:ascii="Times New Roman" w:eastAsia="Times New Roman" w:hAnsi="Times New Roman" w:cs="Times New Roman"/>
                <w:bCs/>
                <w:sz w:val="20"/>
                <w:szCs w:val="20"/>
              </w:rPr>
              <w:t>Bottom 20%</w:t>
            </w: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0.1821</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0.1935</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0.2590</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0.1693</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Mean</w:t>
            </w:r>
          </w:p>
        </w:tc>
      </w:tr>
      <w:tr w:rsidR="00D24ED3" w:rsidRPr="00C43E64" w:rsidTr="00CF399E">
        <w:trPr>
          <w:trHeight w:val="300"/>
        </w:trPr>
        <w:tc>
          <w:tcPr>
            <w:tcW w:w="1644"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c>
          <w:tcPr>
            <w:tcW w:w="1657" w:type="dxa"/>
            <w:vMerge/>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c>
          <w:tcPr>
            <w:tcW w:w="96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0.5486</w:t>
            </w:r>
          </w:p>
        </w:tc>
        <w:tc>
          <w:tcPr>
            <w:tcW w:w="100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0.5180</w:t>
            </w:r>
          </w:p>
        </w:tc>
        <w:tc>
          <w:tcPr>
            <w:tcW w:w="114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0.5527</w:t>
            </w:r>
          </w:p>
        </w:tc>
        <w:tc>
          <w:tcPr>
            <w:tcW w:w="1020"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r w:rsidRPr="00C43E64">
              <w:rPr>
                <w:rFonts w:ascii="Times New Roman" w:eastAsia="Times New Roman" w:hAnsi="Times New Roman" w:cs="Times New Roman"/>
                <w:sz w:val="20"/>
                <w:szCs w:val="20"/>
              </w:rPr>
              <w:t>0.5381</w:t>
            </w:r>
          </w:p>
        </w:tc>
        <w:tc>
          <w:tcPr>
            <w:tcW w:w="746" w:type="dxa"/>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STD</w:t>
            </w:r>
          </w:p>
        </w:tc>
      </w:tr>
      <w:tr w:rsidR="00D24ED3" w:rsidRPr="00C43E64" w:rsidTr="00CF399E">
        <w:trPr>
          <w:trHeight w:val="300"/>
        </w:trPr>
        <w:tc>
          <w:tcPr>
            <w:tcW w:w="1644"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c>
          <w:tcPr>
            <w:tcW w:w="1657" w:type="dxa"/>
            <w:vMerge/>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sz w:val="20"/>
                <w:szCs w:val="20"/>
              </w:rPr>
            </w:pPr>
          </w:p>
        </w:tc>
        <w:tc>
          <w:tcPr>
            <w:tcW w:w="96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0.3319</w:t>
            </w:r>
          </w:p>
        </w:tc>
        <w:tc>
          <w:tcPr>
            <w:tcW w:w="100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0.3735</w:t>
            </w:r>
          </w:p>
        </w:tc>
        <w:tc>
          <w:tcPr>
            <w:tcW w:w="114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0.4687</w:t>
            </w:r>
          </w:p>
        </w:tc>
        <w:tc>
          <w:tcPr>
            <w:tcW w:w="1020"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i/>
                <w:sz w:val="20"/>
                <w:szCs w:val="20"/>
              </w:rPr>
            </w:pPr>
            <w:r w:rsidRPr="00C43E64">
              <w:rPr>
                <w:rFonts w:ascii="Times New Roman" w:eastAsia="Times New Roman" w:hAnsi="Times New Roman" w:cs="Times New Roman"/>
                <w:b/>
                <w:i/>
                <w:sz w:val="20"/>
                <w:szCs w:val="20"/>
              </w:rPr>
              <w:t>0.3146</w:t>
            </w:r>
          </w:p>
        </w:tc>
        <w:tc>
          <w:tcPr>
            <w:tcW w:w="746" w:type="dxa"/>
            <w:tcBorders>
              <w:bottom w:val="single" w:sz="4" w:space="0" w:color="auto"/>
            </w:tcBorders>
            <w:shd w:val="clear" w:color="auto" w:fill="auto"/>
            <w:noWrap/>
            <w:vAlign w:val="center"/>
            <w:hideMark/>
          </w:tcPr>
          <w:p w:rsidR="00D24ED3" w:rsidRPr="00C43E64" w:rsidRDefault="00D24ED3" w:rsidP="00A9076D">
            <w:pPr>
              <w:spacing w:after="0" w:line="240" w:lineRule="auto"/>
              <w:jc w:val="center"/>
              <w:rPr>
                <w:rFonts w:ascii="Times New Roman" w:eastAsia="Times New Roman" w:hAnsi="Times New Roman" w:cs="Times New Roman"/>
                <w:b/>
                <w:bCs/>
                <w:sz w:val="20"/>
                <w:szCs w:val="20"/>
              </w:rPr>
            </w:pPr>
            <w:r w:rsidRPr="00C43E64">
              <w:rPr>
                <w:rFonts w:ascii="Times New Roman" w:eastAsia="Times New Roman" w:hAnsi="Times New Roman" w:cs="Times New Roman"/>
                <w:b/>
                <w:bCs/>
                <w:sz w:val="20"/>
                <w:szCs w:val="20"/>
              </w:rPr>
              <w:t>CV</w:t>
            </w:r>
          </w:p>
        </w:tc>
      </w:tr>
    </w:tbl>
    <w:p w:rsidR="00D24ED3" w:rsidRPr="00C43E64" w:rsidRDefault="00D24ED3" w:rsidP="00A9076D">
      <w:pPr>
        <w:spacing w:after="0" w:line="240" w:lineRule="auto"/>
        <w:rPr>
          <w:rFonts w:ascii="Times New Roman" w:hAnsi="Times New Roman" w:cs="Times New Roman"/>
          <w:sz w:val="20"/>
          <w:szCs w:val="20"/>
        </w:rPr>
      </w:pPr>
      <w:r w:rsidRPr="00C43E64">
        <w:rPr>
          <w:rFonts w:ascii="Times New Roman" w:hAnsi="Times New Roman" w:cs="Times New Roman"/>
          <w:sz w:val="20"/>
          <w:szCs w:val="20"/>
          <w:vertAlign w:val="superscript"/>
        </w:rPr>
        <w:t>a</w:t>
      </w:r>
      <w:r w:rsidRPr="00C43E64">
        <w:rPr>
          <w:rFonts w:ascii="Times New Roman" w:hAnsi="Times New Roman" w:cs="Times New Roman"/>
          <w:sz w:val="20"/>
          <w:szCs w:val="20"/>
        </w:rPr>
        <w:t xml:space="preserve"> The Bonferroni t test, Scheffé’s multiple-comparison, and Tukey’s studentized range test all indicate that the mean differences between the top and bottom portfolios for these cases are not statistically significant at the conventional significance levels. </w:t>
      </w:r>
    </w:p>
    <w:p w:rsidR="00D24ED3" w:rsidRPr="00C43E64" w:rsidRDefault="00D24ED3" w:rsidP="00A9076D">
      <w:pPr>
        <w:spacing w:after="0" w:line="240" w:lineRule="auto"/>
        <w:rPr>
          <w:rFonts w:ascii="Times New Roman" w:hAnsi="Times New Roman" w:cs="Times New Roman"/>
          <w:b/>
          <w:sz w:val="20"/>
          <w:szCs w:val="20"/>
        </w:rPr>
      </w:pPr>
      <w:r w:rsidRPr="00C43E64">
        <w:rPr>
          <w:rFonts w:ascii="Times New Roman" w:hAnsi="Times New Roman" w:cs="Times New Roman"/>
          <w:b/>
          <w:sz w:val="20"/>
          <w:szCs w:val="20"/>
        </w:rPr>
        <w:br w:type="page"/>
      </w:r>
    </w:p>
    <w:p w:rsidR="00D24ED3" w:rsidRPr="00C43E64" w:rsidRDefault="00B64AE0" w:rsidP="00A9076D">
      <w:pPr>
        <w:spacing w:after="0" w:line="240" w:lineRule="auto"/>
        <w:rPr>
          <w:rFonts w:ascii="Times New Roman" w:hAnsi="Times New Roman" w:cs="Times New Roman"/>
          <w:b/>
          <w:sz w:val="20"/>
          <w:szCs w:val="20"/>
        </w:rPr>
      </w:pPr>
      <w:r w:rsidRPr="00C43E64">
        <w:rPr>
          <w:rFonts w:ascii="Times New Roman" w:hAnsi="Times New Roman" w:cs="Times New Roman"/>
          <w:b/>
          <w:sz w:val="20"/>
          <w:szCs w:val="20"/>
        </w:rPr>
        <w:lastRenderedPageBreak/>
        <w:t>Table</w:t>
      </w:r>
      <w:r w:rsidR="006B77AC" w:rsidRPr="00C43E64">
        <w:rPr>
          <w:rFonts w:ascii="Times New Roman" w:hAnsi="Times New Roman" w:cs="Times New Roman"/>
          <w:b/>
          <w:sz w:val="20"/>
          <w:szCs w:val="20"/>
        </w:rPr>
        <w:t xml:space="preserve"> 4</w:t>
      </w:r>
      <w:r w:rsidR="00D24ED3" w:rsidRPr="00C43E64">
        <w:rPr>
          <w:rFonts w:ascii="Times New Roman" w:hAnsi="Times New Roman" w:cs="Times New Roman"/>
          <w:b/>
          <w:sz w:val="20"/>
          <w:szCs w:val="20"/>
        </w:rPr>
        <w:t>. Contemporaneous Regression of Stock Returns on Value Determinants</w:t>
      </w:r>
    </w:p>
    <w:p w:rsidR="00D24ED3" w:rsidRPr="00C43E64" w:rsidRDefault="00D24ED3" w:rsidP="00A9076D">
      <w:pPr>
        <w:spacing w:after="0" w:line="240" w:lineRule="auto"/>
        <w:rPr>
          <w:rFonts w:ascii="Times New Roman" w:hAnsi="Times New Roman" w:cs="Times New Roman"/>
          <w:b/>
          <w:sz w:val="20"/>
          <w:szCs w:val="20"/>
        </w:rPr>
      </w:pPr>
    </w:p>
    <w:p w:rsidR="00D24ED3" w:rsidRPr="00C43E64" w:rsidRDefault="00D24ED3" w:rsidP="00A9076D">
      <w:pPr>
        <w:spacing w:after="0" w:line="240" w:lineRule="auto"/>
        <w:jc w:val="both"/>
        <w:rPr>
          <w:rFonts w:ascii="Times New Roman" w:hAnsi="Times New Roman" w:cs="Times New Roman"/>
          <w:sz w:val="20"/>
          <w:szCs w:val="20"/>
        </w:rPr>
      </w:pPr>
      <w:r w:rsidRPr="00C43E64">
        <w:rPr>
          <w:rFonts w:ascii="Times New Roman" w:hAnsi="Times New Roman" w:cs="Times New Roman"/>
          <w:sz w:val="20"/>
          <w:szCs w:val="20"/>
        </w:rPr>
        <w:t>Three versions of regression are estimated. The third column summarizes the results of a pooled regression model on the four value determinants for four distinctive market indexes – DJIA, S&amp;P Mid Cap, S&amp;P Small Cap, and S&amp;P 1500. The model examines contemporaneous relations between the stock returns and the four value determinants – i.e., the values of all the variables in the regression at a given point in</w:t>
      </w:r>
      <w:r w:rsidR="002E709D">
        <w:rPr>
          <w:rFonts w:ascii="Times New Roman" w:hAnsi="Times New Roman" w:cs="Times New Roman"/>
          <w:sz w:val="20"/>
          <w:szCs w:val="20"/>
        </w:rPr>
        <w:t xml:space="preserve"> time encompass the same year</w:t>
      </w:r>
      <w:r w:rsidRPr="00C43E64">
        <w:rPr>
          <w:rFonts w:ascii="Times New Roman" w:hAnsi="Times New Roman" w:cs="Times New Roman"/>
          <w:sz w:val="20"/>
          <w:szCs w:val="20"/>
        </w:rPr>
        <w:t xml:space="preserve">. The fourth column runs the same regression as the third except that due to the concerns about the autocorrelation and heteroscedasticity, the Newey-West HAC standard errors (in parentheses) are used to do significance test on the coefficients. The same relations are scrutinized by a fixed effects panel regression for the same market indexes and regression results are shown in the fifth column. The fixed effects panel regression model release the assumption of the pooled regression model that the intercepts are the same for each firm and for each year.   </w:t>
      </w:r>
    </w:p>
    <w:p w:rsidR="00D24ED3" w:rsidRPr="00C43E64" w:rsidRDefault="00D24ED3" w:rsidP="00A9076D">
      <w:pPr>
        <w:spacing w:after="0" w:line="240" w:lineRule="auto"/>
        <w:rPr>
          <w:rFonts w:ascii="Times New Roman" w:hAnsi="Times New Roman" w:cs="Times New Roman"/>
          <w:sz w:val="20"/>
          <w:szCs w:val="20"/>
        </w:rPr>
      </w:pPr>
    </w:p>
    <w:tbl>
      <w:tblPr>
        <w:tblStyle w:val="a6"/>
        <w:tblW w:w="9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
        <w:gridCol w:w="1344"/>
        <w:gridCol w:w="2200"/>
        <w:gridCol w:w="2290"/>
        <w:gridCol w:w="2746"/>
      </w:tblGrid>
      <w:tr w:rsidR="00D24ED3" w:rsidRPr="00C43E64" w:rsidTr="00CF399E">
        <w:tc>
          <w:tcPr>
            <w:tcW w:w="996" w:type="dxa"/>
            <w:vMerge w:val="restart"/>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 xml:space="preserve">  Indexes</w:t>
            </w:r>
          </w:p>
        </w:tc>
        <w:tc>
          <w:tcPr>
            <w:tcW w:w="1344" w:type="dxa"/>
            <w:vMerge w:val="restart"/>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Variable</w:t>
            </w:r>
          </w:p>
        </w:tc>
        <w:tc>
          <w:tcPr>
            <w:tcW w:w="7236" w:type="dxa"/>
            <w:gridSpan w:val="3"/>
            <w:tcBorders>
              <w:bottom w:val="single" w:sz="4" w:space="0" w:color="auto"/>
            </w:tcBorders>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Estimation Method</w:t>
            </w:r>
          </w:p>
        </w:tc>
      </w:tr>
      <w:tr w:rsidR="00D24ED3" w:rsidRPr="00C43E64" w:rsidTr="00CF399E">
        <w:tc>
          <w:tcPr>
            <w:tcW w:w="996"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1344"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2200" w:type="dxa"/>
            <w:tcBorders>
              <w:top w:val="single" w:sz="4" w:space="0" w:color="auto"/>
              <w:bottom w:val="single" w:sz="4" w:space="0" w:color="auto"/>
            </w:tcBorders>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Pooled Regression</w:t>
            </w:r>
          </w:p>
        </w:tc>
        <w:tc>
          <w:tcPr>
            <w:tcW w:w="2290" w:type="dxa"/>
            <w:tcBorders>
              <w:top w:val="single" w:sz="4" w:space="0" w:color="auto"/>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Pooled Regression - HAC</w:t>
            </w:r>
          </w:p>
        </w:tc>
        <w:tc>
          <w:tcPr>
            <w:tcW w:w="2746" w:type="dxa"/>
            <w:tcBorders>
              <w:top w:val="single" w:sz="4" w:space="0" w:color="auto"/>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Fixed Effect Panel Regression</w:t>
            </w:r>
          </w:p>
        </w:tc>
      </w:tr>
      <w:tr w:rsidR="00D24ED3" w:rsidRPr="00C43E64" w:rsidTr="00CF399E">
        <w:tc>
          <w:tcPr>
            <w:tcW w:w="996" w:type="dxa"/>
            <w:vMerge w:val="restart"/>
            <w:tcBorders>
              <w:top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DJIA</w:t>
            </w:r>
          </w:p>
        </w:tc>
        <w:tc>
          <w:tcPr>
            <w:tcW w:w="1344" w:type="dxa"/>
            <w:tcBorders>
              <w:top w:val="single" w:sz="4" w:space="0" w:color="auto"/>
            </w:tcBorders>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Intercept</w:t>
            </w:r>
          </w:p>
        </w:tc>
        <w:tc>
          <w:tcPr>
            <w:tcW w:w="2200"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0.1568*** (0.0189)</w:t>
            </w:r>
          </w:p>
        </w:tc>
        <w:tc>
          <w:tcPr>
            <w:tcW w:w="2290"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0.1568*** (0.0179)</w:t>
            </w:r>
          </w:p>
        </w:tc>
        <w:tc>
          <w:tcPr>
            <w:tcW w:w="2746"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0.1522*** (0.0229)</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GiE</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0.1324*** (0.0135)</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0.1324*** (0.0294)</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0.1378*** (0.0132)</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ROE</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-0.7540*** (0.1116)</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-0.7540*** (0.1008)</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-0.8340*** (0.1195)</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P/B</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0.0116*** (0.0038)</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0.0116*** (0.0039)</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0.0164*** (0.0054)</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ΔPB</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0.0763*** (0.0046)</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0.0763*** (0.0265)</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0.0597*** (0.0050)</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Adjusted R</w:t>
            </w:r>
            <w:r w:rsidRPr="00C43E64">
              <w:rPr>
                <w:rFonts w:ascii="Times New Roman" w:hAnsi="Times New Roman" w:cs="Times New Roman"/>
                <w:sz w:val="20"/>
                <w:szCs w:val="20"/>
                <w:vertAlign w:val="superscript"/>
              </w:rPr>
              <w:t>2</w:t>
            </w:r>
          </w:p>
        </w:tc>
        <w:tc>
          <w:tcPr>
            <w:tcW w:w="2200"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0.2533</w:t>
            </w:r>
          </w:p>
        </w:tc>
        <w:tc>
          <w:tcPr>
            <w:tcW w:w="2290"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0.2533</w:t>
            </w:r>
          </w:p>
        </w:tc>
        <w:tc>
          <w:tcPr>
            <w:tcW w:w="2746"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0.3569</w:t>
            </w:r>
          </w:p>
        </w:tc>
      </w:tr>
      <w:tr w:rsidR="00D24ED3" w:rsidRPr="00C43E64" w:rsidTr="00CF399E">
        <w:tc>
          <w:tcPr>
            <w:tcW w:w="996"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1344" w:type="dxa"/>
            <w:tcBorders>
              <w:bottom w:val="single" w:sz="4" w:space="0" w:color="auto"/>
            </w:tcBorders>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N</w:t>
            </w:r>
          </w:p>
        </w:tc>
        <w:tc>
          <w:tcPr>
            <w:tcW w:w="2200"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1125</w:t>
            </w:r>
          </w:p>
        </w:tc>
        <w:tc>
          <w:tcPr>
            <w:tcW w:w="2290"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1125</w:t>
            </w:r>
          </w:p>
        </w:tc>
        <w:tc>
          <w:tcPr>
            <w:tcW w:w="2746"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1125</w:t>
            </w:r>
          </w:p>
        </w:tc>
      </w:tr>
      <w:tr w:rsidR="00D24ED3" w:rsidRPr="00C43E64" w:rsidTr="00CF399E">
        <w:tc>
          <w:tcPr>
            <w:tcW w:w="996" w:type="dxa"/>
            <w:vMerge w:val="restart"/>
            <w:tcBorders>
              <w:top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Mid Cap</w:t>
            </w:r>
          </w:p>
        </w:tc>
        <w:tc>
          <w:tcPr>
            <w:tcW w:w="1344" w:type="dxa"/>
            <w:tcBorders>
              <w:top w:val="single" w:sz="4" w:space="0" w:color="auto"/>
            </w:tcBorders>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Intercept</w:t>
            </w:r>
          </w:p>
        </w:tc>
        <w:tc>
          <w:tcPr>
            <w:tcW w:w="2200"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0.1077*** (0.0057)</w:t>
            </w:r>
          </w:p>
        </w:tc>
        <w:tc>
          <w:tcPr>
            <w:tcW w:w="2290"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0.1077*** (0.0108)</w:t>
            </w:r>
          </w:p>
        </w:tc>
        <w:tc>
          <w:tcPr>
            <w:tcW w:w="2746"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0.1010*** (0.0056)</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GiE</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0.1420*** (0.0054)</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0.1420*** (0.0107)</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0.1416*** (0.0053)</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ROE</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-0.5277*** (0.0356)</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-0.5277*** (0.0894)</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-0.5365*** (0.0393)</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P/B</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0.0272*** (0.0023)</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0.0272*** (0.0053)</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0.0303*** (0.0027)</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ΔPB</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0.0121*** (0.0010)</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0.0121*** (0.0046)</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0.0092*** (0.0010)</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Adjusted R</w:t>
            </w:r>
            <w:r w:rsidRPr="00C43E64">
              <w:rPr>
                <w:rFonts w:ascii="Times New Roman" w:hAnsi="Times New Roman" w:cs="Times New Roman"/>
                <w:sz w:val="20"/>
                <w:szCs w:val="20"/>
                <w:vertAlign w:val="superscript"/>
              </w:rPr>
              <w:t>2</w:t>
            </w:r>
          </w:p>
        </w:tc>
        <w:tc>
          <w:tcPr>
            <w:tcW w:w="2200"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0.1068</w:t>
            </w:r>
          </w:p>
        </w:tc>
        <w:tc>
          <w:tcPr>
            <w:tcW w:w="2290"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0.1068</w:t>
            </w:r>
          </w:p>
        </w:tc>
        <w:tc>
          <w:tcPr>
            <w:tcW w:w="2746"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0.2165</w:t>
            </w:r>
          </w:p>
        </w:tc>
      </w:tr>
      <w:tr w:rsidR="00D24ED3" w:rsidRPr="00C43E64" w:rsidTr="00CF399E">
        <w:tc>
          <w:tcPr>
            <w:tcW w:w="996"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1344" w:type="dxa"/>
            <w:tcBorders>
              <w:bottom w:val="single" w:sz="4" w:space="0" w:color="auto"/>
            </w:tcBorders>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N</w:t>
            </w:r>
          </w:p>
        </w:tc>
        <w:tc>
          <w:tcPr>
            <w:tcW w:w="2200"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8124</w:t>
            </w:r>
          </w:p>
        </w:tc>
        <w:tc>
          <w:tcPr>
            <w:tcW w:w="2290"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8124</w:t>
            </w:r>
          </w:p>
        </w:tc>
        <w:tc>
          <w:tcPr>
            <w:tcW w:w="2746"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8124</w:t>
            </w:r>
          </w:p>
        </w:tc>
      </w:tr>
      <w:tr w:rsidR="00D24ED3" w:rsidRPr="00C43E64" w:rsidTr="00CF399E">
        <w:tc>
          <w:tcPr>
            <w:tcW w:w="996" w:type="dxa"/>
            <w:vMerge w:val="restart"/>
            <w:tcBorders>
              <w:top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Small Cap</w:t>
            </w:r>
          </w:p>
        </w:tc>
        <w:tc>
          <w:tcPr>
            <w:tcW w:w="1344" w:type="dxa"/>
            <w:tcBorders>
              <w:top w:val="single" w:sz="4" w:space="0" w:color="auto"/>
            </w:tcBorders>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Intercept</w:t>
            </w:r>
          </w:p>
        </w:tc>
        <w:tc>
          <w:tcPr>
            <w:tcW w:w="2200"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0.1332*** (0.0071)</w:t>
            </w:r>
          </w:p>
        </w:tc>
        <w:tc>
          <w:tcPr>
            <w:tcW w:w="2290"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0.1332*** (0.0164)</w:t>
            </w:r>
          </w:p>
        </w:tc>
        <w:tc>
          <w:tcPr>
            <w:tcW w:w="2746"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0.1262*** (0.0074)</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GiE</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0.1848*** (0.0053)</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0.1848*** (0.0125)</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0.1910*** (0.0053)</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ROE</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-0.9164*** (0.0516)</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-0.9164*** (0.1704)</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-1.1357*** (0.0584)</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P/B</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0.0432*** (0.0030)</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0.0432*** (0.0092)</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0.0585*** (0.0038)</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ΔPB</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0.0414*** (0.0019)</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0.0414*** (0.0106)</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0.0366*** (0.0020)</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b/>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Adjusted R</w:t>
            </w:r>
            <w:r w:rsidRPr="00C43E64">
              <w:rPr>
                <w:rFonts w:ascii="Times New Roman" w:hAnsi="Times New Roman" w:cs="Times New Roman"/>
                <w:sz w:val="20"/>
                <w:szCs w:val="20"/>
                <w:vertAlign w:val="superscript"/>
              </w:rPr>
              <w:t>2</w:t>
            </w:r>
          </w:p>
        </w:tc>
        <w:tc>
          <w:tcPr>
            <w:tcW w:w="2200"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0.1723</w:t>
            </w:r>
          </w:p>
        </w:tc>
        <w:tc>
          <w:tcPr>
            <w:tcW w:w="2290"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0.1723</w:t>
            </w:r>
          </w:p>
        </w:tc>
        <w:tc>
          <w:tcPr>
            <w:tcW w:w="2746"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0.2632</w:t>
            </w:r>
          </w:p>
        </w:tc>
      </w:tr>
      <w:tr w:rsidR="00D24ED3" w:rsidRPr="00C43E64" w:rsidTr="00CF399E">
        <w:tc>
          <w:tcPr>
            <w:tcW w:w="996" w:type="dxa"/>
            <w:vMerge/>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p>
        </w:tc>
        <w:tc>
          <w:tcPr>
            <w:tcW w:w="1344" w:type="dxa"/>
            <w:tcBorders>
              <w:bottom w:val="single" w:sz="4" w:space="0" w:color="auto"/>
            </w:tcBorders>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N</w:t>
            </w:r>
          </w:p>
        </w:tc>
        <w:tc>
          <w:tcPr>
            <w:tcW w:w="2200"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9560</w:t>
            </w:r>
          </w:p>
        </w:tc>
        <w:tc>
          <w:tcPr>
            <w:tcW w:w="2290"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9560</w:t>
            </w:r>
          </w:p>
        </w:tc>
        <w:tc>
          <w:tcPr>
            <w:tcW w:w="2746"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9560</w:t>
            </w:r>
          </w:p>
        </w:tc>
      </w:tr>
      <w:tr w:rsidR="00D24ED3" w:rsidRPr="00C43E64" w:rsidTr="00CF399E">
        <w:tc>
          <w:tcPr>
            <w:tcW w:w="996" w:type="dxa"/>
            <w:vMerge w:val="restart"/>
            <w:tcBorders>
              <w:top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1500</w:t>
            </w:r>
          </w:p>
        </w:tc>
        <w:tc>
          <w:tcPr>
            <w:tcW w:w="1344" w:type="dxa"/>
            <w:tcBorders>
              <w:top w:val="single" w:sz="4" w:space="0" w:color="auto"/>
            </w:tcBorders>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Intercept</w:t>
            </w:r>
          </w:p>
        </w:tc>
        <w:tc>
          <w:tcPr>
            <w:tcW w:w="2200"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0.1120*** (0.0030)</w:t>
            </w:r>
          </w:p>
        </w:tc>
        <w:tc>
          <w:tcPr>
            <w:tcW w:w="2290"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0.1120*** (0.0052)</w:t>
            </w:r>
          </w:p>
        </w:tc>
        <w:tc>
          <w:tcPr>
            <w:tcW w:w="2746" w:type="dxa"/>
            <w:tcBorders>
              <w:top w:val="single" w:sz="4" w:space="0" w:color="auto"/>
            </w:tcBorders>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0.1080*** (0.0030)</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GiE</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0.1604*** (0.0029)</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0.1604*** (0.0067)</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0.1597*** (0.0028)</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ROE</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-0.4022*** (0.0183)</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-0.4022*** (0.0673)</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-0.4132*** (0.0194)</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P/B</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0.0158*** (0.0009)</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0.0158*** (0.0036)</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0.0179*** (0.0011)</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ΔPB</w:t>
            </w:r>
          </w:p>
        </w:tc>
        <w:tc>
          <w:tcPr>
            <w:tcW w:w="220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0.0120*** (0.0005)</w:t>
            </w:r>
          </w:p>
        </w:tc>
        <w:tc>
          <w:tcPr>
            <w:tcW w:w="2290"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0.0120*** (0.0023)</w:t>
            </w:r>
          </w:p>
        </w:tc>
        <w:tc>
          <w:tcPr>
            <w:tcW w:w="2746" w:type="dxa"/>
            <w:vAlign w:val="center"/>
          </w:tcPr>
          <w:p w:rsidR="00D24ED3" w:rsidRPr="00C43E64" w:rsidRDefault="00D24ED3"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0.0097*** (0.0005)</w:t>
            </w:r>
          </w:p>
        </w:tc>
      </w:tr>
      <w:tr w:rsidR="00D24ED3" w:rsidRPr="00C43E64" w:rsidTr="00CF399E">
        <w:tc>
          <w:tcPr>
            <w:tcW w:w="996" w:type="dxa"/>
            <w:vMerge/>
            <w:vAlign w:val="center"/>
          </w:tcPr>
          <w:p w:rsidR="00D24ED3" w:rsidRPr="00C43E64" w:rsidRDefault="00D24ED3" w:rsidP="00A9076D">
            <w:pPr>
              <w:jc w:val="center"/>
              <w:rPr>
                <w:rFonts w:ascii="Times New Roman" w:hAnsi="Times New Roman" w:cs="Times New Roman"/>
                <w:sz w:val="20"/>
                <w:szCs w:val="20"/>
              </w:rPr>
            </w:pPr>
          </w:p>
        </w:tc>
        <w:tc>
          <w:tcPr>
            <w:tcW w:w="1344" w:type="dxa"/>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Adjusted R</w:t>
            </w:r>
            <w:r w:rsidRPr="00C43E64">
              <w:rPr>
                <w:rFonts w:ascii="Times New Roman" w:hAnsi="Times New Roman" w:cs="Times New Roman"/>
                <w:sz w:val="20"/>
                <w:szCs w:val="20"/>
                <w:vertAlign w:val="superscript"/>
              </w:rPr>
              <w:t>2</w:t>
            </w:r>
          </w:p>
        </w:tc>
        <w:tc>
          <w:tcPr>
            <w:tcW w:w="2200"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0.1107</w:t>
            </w:r>
          </w:p>
        </w:tc>
        <w:tc>
          <w:tcPr>
            <w:tcW w:w="2290"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0.1107</w:t>
            </w:r>
          </w:p>
        </w:tc>
        <w:tc>
          <w:tcPr>
            <w:tcW w:w="2746" w:type="dxa"/>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0.2225</w:t>
            </w:r>
          </w:p>
        </w:tc>
      </w:tr>
      <w:tr w:rsidR="00D24ED3" w:rsidRPr="00C43E64" w:rsidTr="00CF399E">
        <w:tc>
          <w:tcPr>
            <w:tcW w:w="996" w:type="dxa"/>
            <w:vMerge/>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p>
        </w:tc>
        <w:tc>
          <w:tcPr>
            <w:tcW w:w="1344" w:type="dxa"/>
            <w:tcBorders>
              <w:bottom w:val="single" w:sz="4" w:space="0" w:color="auto"/>
            </w:tcBorders>
            <w:vAlign w:val="center"/>
          </w:tcPr>
          <w:p w:rsidR="00D24ED3" w:rsidRPr="00C43E64" w:rsidRDefault="00D24ED3"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N</w:t>
            </w:r>
          </w:p>
        </w:tc>
        <w:tc>
          <w:tcPr>
            <w:tcW w:w="2200"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30432</w:t>
            </w:r>
          </w:p>
        </w:tc>
        <w:tc>
          <w:tcPr>
            <w:tcW w:w="2290"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30432</w:t>
            </w:r>
          </w:p>
        </w:tc>
        <w:tc>
          <w:tcPr>
            <w:tcW w:w="2746" w:type="dxa"/>
            <w:tcBorders>
              <w:bottom w:val="single" w:sz="4" w:space="0" w:color="auto"/>
            </w:tcBorders>
            <w:vAlign w:val="center"/>
          </w:tcPr>
          <w:p w:rsidR="00D24ED3" w:rsidRPr="00C43E64" w:rsidRDefault="00D24ED3" w:rsidP="00A9076D">
            <w:pPr>
              <w:jc w:val="center"/>
              <w:rPr>
                <w:rFonts w:ascii="Times New Roman" w:hAnsi="Times New Roman" w:cs="Times New Roman"/>
                <w:sz w:val="20"/>
                <w:szCs w:val="20"/>
              </w:rPr>
            </w:pPr>
            <w:r w:rsidRPr="00C43E64">
              <w:rPr>
                <w:rFonts w:ascii="Times New Roman" w:hAnsi="Times New Roman" w:cs="Times New Roman"/>
                <w:sz w:val="20"/>
                <w:szCs w:val="20"/>
              </w:rPr>
              <w:t>30432</w:t>
            </w:r>
          </w:p>
        </w:tc>
      </w:tr>
    </w:tbl>
    <w:p w:rsidR="00D24ED3" w:rsidRPr="00C43E64" w:rsidRDefault="00D24ED3" w:rsidP="00A9076D">
      <w:pPr>
        <w:autoSpaceDE w:val="0"/>
        <w:autoSpaceDN w:val="0"/>
        <w:adjustRightInd w:val="0"/>
        <w:spacing w:after="0" w:line="240" w:lineRule="auto"/>
        <w:rPr>
          <w:rFonts w:ascii="Times New Roman" w:hAnsi="Times New Roman" w:cs="Times New Roman"/>
          <w:sz w:val="20"/>
          <w:szCs w:val="20"/>
        </w:rPr>
      </w:pPr>
      <w:r w:rsidRPr="00C43E64">
        <w:rPr>
          <w:rFonts w:ascii="Times New Roman" w:hAnsi="Times New Roman" w:cs="Times New Roman"/>
          <w:sz w:val="20"/>
          <w:szCs w:val="20"/>
        </w:rPr>
        <w:t>***, **, and * indicate the statistical significance at 1%, 5%, and 10% respectively.</w:t>
      </w:r>
      <w:r w:rsidRPr="00C43E64">
        <w:rPr>
          <w:rFonts w:ascii="Times New Roman" w:hAnsi="Times New Roman" w:cs="Times New Roman"/>
          <w:sz w:val="20"/>
          <w:szCs w:val="20"/>
        </w:rPr>
        <w:br/>
      </w:r>
    </w:p>
    <w:p w:rsidR="00D24ED3" w:rsidRPr="00C43E64" w:rsidRDefault="00D24ED3" w:rsidP="00A9076D">
      <w:pPr>
        <w:spacing w:after="0" w:line="240" w:lineRule="auto"/>
        <w:rPr>
          <w:rFonts w:ascii="Times New Roman" w:hAnsi="Times New Roman" w:cs="Times New Roman"/>
          <w:b/>
          <w:sz w:val="20"/>
          <w:szCs w:val="20"/>
        </w:rPr>
      </w:pPr>
      <w:r w:rsidRPr="00C43E64">
        <w:rPr>
          <w:rFonts w:ascii="Times New Roman" w:hAnsi="Times New Roman" w:cs="Times New Roman"/>
          <w:b/>
          <w:sz w:val="20"/>
          <w:szCs w:val="20"/>
        </w:rPr>
        <w:br w:type="page"/>
      </w:r>
    </w:p>
    <w:p w:rsidR="00D24ED3" w:rsidRPr="00C43E64" w:rsidRDefault="00B64AE0" w:rsidP="00A9076D">
      <w:pPr>
        <w:spacing w:after="0" w:line="240" w:lineRule="auto"/>
        <w:rPr>
          <w:rFonts w:ascii="Times New Roman" w:hAnsi="Times New Roman" w:cs="Times New Roman"/>
          <w:b/>
          <w:sz w:val="20"/>
          <w:szCs w:val="20"/>
        </w:rPr>
      </w:pPr>
      <w:r w:rsidRPr="00C43E64">
        <w:rPr>
          <w:rFonts w:ascii="Times New Roman" w:hAnsi="Times New Roman" w:cs="Times New Roman"/>
          <w:b/>
          <w:sz w:val="20"/>
          <w:szCs w:val="20"/>
        </w:rPr>
        <w:lastRenderedPageBreak/>
        <w:t>Table</w:t>
      </w:r>
      <w:r w:rsidR="006B77AC" w:rsidRPr="00C43E64">
        <w:rPr>
          <w:rFonts w:ascii="Times New Roman" w:hAnsi="Times New Roman" w:cs="Times New Roman"/>
          <w:b/>
          <w:sz w:val="20"/>
          <w:szCs w:val="20"/>
        </w:rPr>
        <w:t xml:space="preserve"> 5</w:t>
      </w:r>
      <w:r w:rsidR="00D24ED3" w:rsidRPr="00C43E64">
        <w:rPr>
          <w:rFonts w:ascii="Times New Roman" w:hAnsi="Times New Roman" w:cs="Times New Roman"/>
          <w:b/>
          <w:sz w:val="20"/>
          <w:szCs w:val="20"/>
        </w:rPr>
        <w:t>. Proxy Fixed Effects Panel Regression of Stock Returns on Value Determinants</w:t>
      </w:r>
    </w:p>
    <w:p w:rsidR="00D24ED3" w:rsidRPr="00C43E64" w:rsidRDefault="00D24ED3" w:rsidP="00A9076D">
      <w:pPr>
        <w:spacing w:after="0" w:line="240" w:lineRule="auto"/>
        <w:rPr>
          <w:rFonts w:ascii="Times New Roman" w:hAnsi="Times New Roman" w:cs="Times New Roman"/>
          <w:b/>
          <w:sz w:val="20"/>
          <w:szCs w:val="20"/>
        </w:rPr>
      </w:pPr>
    </w:p>
    <w:p w:rsidR="00D24ED3" w:rsidRPr="00C43E64" w:rsidRDefault="00D24ED3" w:rsidP="00A9076D">
      <w:pPr>
        <w:spacing w:after="0" w:line="240" w:lineRule="auto"/>
        <w:jc w:val="both"/>
        <w:rPr>
          <w:rFonts w:ascii="Times New Roman" w:hAnsi="Times New Roman" w:cs="Times New Roman"/>
          <w:sz w:val="20"/>
          <w:szCs w:val="20"/>
        </w:rPr>
      </w:pPr>
      <w:r w:rsidRPr="00C43E64">
        <w:rPr>
          <w:rFonts w:ascii="Times New Roman" w:hAnsi="Times New Roman" w:cs="Times New Roman"/>
          <w:sz w:val="20"/>
          <w:szCs w:val="20"/>
        </w:rPr>
        <w:t>This table presents two versions of fixed effects panel regression.  The first version runs a fixed effects regression of total stock returns on the four value determinants for four market indexes – DJIA, S&amp;P Mid Cap, S&amp;P Small Cap, and S&amp;P 1500. It examines the ex ante relation between the stock returns and the four value determinants – i.e., the values of the independent variables in the regression trail the values of the dependent variable. The assumption is that the lagged values of the independent variables are the best proxies of their true values. The second version evaluates the same regression as the first except that it adds a variable, the lagged term of the dependent variable (</w:t>
      </w:r>
      <m:oMath>
        <m:sSub>
          <m:sSubPr>
            <m:ctrlPr>
              <w:rPr>
                <w:rFonts w:ascii="Cambria Math" w:hAnsi="Cambria Math" w:cs="Times New Roman"/>
                <w:i/>
                <w:sz w:val="20"/>
                <w:szCs w:val="20"/>
              </w:rPr>
            </m:ctrlPr>
          </m:sSubPr>
          <m:e>
            <m:r>
              <w:rPr>
                <w:rFonts w:ascii="Cambria Math" w:hAnsi="Cambria Math" w:cs="Times New Roman"/>
                <w:sz w:val="20"/>
                <w:szCs w:val="20"/>
              </w:rPr>
              <m:t>RET</m:t>
            </m:r>
          </m:e>
          <m:sub>
            <m:r>
              <w:rPr>
                <w:rFonts w:ascii="Cambria Math" w:hAnsi="Cambria Math" w:cs="Times New Roman"/>
                <w:sz w:val="20"/>
                <w:szCs w:val="20"/>
              </w:rPr>
              <m:t>t-1</m:t>
            </m:r>
          </m:sub>
        </m:sSub>
      </m:oMath>
      <w:r w:rsidRPr="00C43E64">
        <w:rPr>
          <w:rFonts w:ascii="Times New Roman" w:hAnsi="Times New Roman" w:cs="Times New Roman"/>
          <w:sz w:val="20"/>
          <w:szCs w:val="20"/>
        </w:rPr>
        <w:t xml:space="preserve">), to address the concern that </w:t>
      </w:r>
      <w:r w:rsidRPr="00C43E64">
        <w:rPr>
          <w:rFonts w:ascii="Times New Roman" w:hAnsi="Times New Roman" w:cs="Times New Roman"/>
          <w:sz w:val="20"/>
          <w:szCs w:val="20"/>
        </w:rPr>
        <w:sym w:font="Symbol" w:char="F044"/>
      </w:r>
      <w:r w:rsidRPr="00C43E64">
        <w:rPr>
          <w:rFonts w:ascii="Times New Roman" w:hAnsi="Times New Roman" w:cs="Times New Roman"/>
          <w:sz w:val="20"/>
          <w:szCs w:val="20"/>
        </w:rPr>
        <w:t xml:space="preserve">PB may not be an appropriate explanatory instrument because it actually measures the same thing as the dependent variable. </w:t>
      </w:r>
    </w:p>
    <w:p w:rsidR="00D24ED3" w:rsidRPr="00C43E64" w:rsidRDefault="00D24ED3" w:rsidP="00A9076D">
      <w:pPr>
        <w:spacing w:after="0" w:line="240" w:lineRule="auto"/>
        <w:rPr>
          <w:rFonts w:ascii="Times New Roman" w:hAnsi="Times New Roman" w:cs="Times New Roman"/>
          <w:sz w:val="20"/>
          <w:szCs w:val="20"/>
        </w:rPr>
      </w:pPr>
      <w:r w:rsidRPr="00C43E64">
        <w:rPr>
          <w:rFonts w:ascii="Times New Roman" w:hAnsi="Times New Roman" w:cs="Times New Roman"/>
          <w:sz w:val="20"/>
          <w:szCs w:val="20"/>
        </w:rPr>
        <w:t xml:space="preserve">  </w:t>
      </w:r>
    </w:p>
    <w:tbl>
      <w:tblPr>
        <w:tblStyle w:val="a6"/>
        <w:tblW w:w="90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5"/>
        <w:gridCol w:w="1344"/>
        <w:gridCol w:w="3083"/>
        <w:gridCol w:w="3083"/>
      </w:tblGrid>
      <w:tr w:rsidR="00D24ED3" w:rsidRPr="00C43E64" w:rsidTr="00CF399E">
        <w:tc>
          <w:tcPr>
            <w:tcW w:w="1515" w:type="dxa"/>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Index</w:t>
            </w:r>
          </w:p>
        </w:tc>
        <w:tc>
          <w:tcPr>
            <w:tcW w:w="1344" w:type="dxa"/>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Variable</w:t>
            </w:r>
          </w:p>
        </w:tc>
        <w:tc>
          <w:tcPr>
            <w:tcW w:w="3083" w:type="dxa"/>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 xml:space="preserve">Panel Regression without </w:t>
            </w:r>
            <m:oMath>
              <m:sSub>
                <m:sSubPr>
                  <m:ctrlPr>
                    <w:rPr>
                      <w:rFonts w:ascii="Cambria Math" w:hAnsi="Cambria Math" w:cs="Times New Roman"/>
                      <w:i/>
                      <w:sz w:val="20"/>
                      <w:szCs w:val="20"/>
                    </w:rPr>
                  </m:ctrlPr>
                </m:sSubPr>
                <m:e>
                  <m:r>
                    <w:rPr>
                      <w:rFonts w:ascii="Cambria Math" w:hAnsi="Cambria Math" w:cs="Times New Roman"/>
                      <w:sz w:val="20"/>
                      <w:szCs w:val="20"/>
                    </w:rPr>
                    <m:t>RET</m:t>
                  </m:r>
                </m:e>
                <m:sub>
                  <m:r>
                    <w:rPr>
                      <w:rFonts w:ascii="Cambria Math" w:hAnsi="Cambria Math" w:cs="Times New Roman"/>
                      <w:sz w:val="20"/>
                      <w:szCs w:val="20"/>
                    </w:rPr>
                    <m:t>t-1</m:t>
                  </m:r>
                </m:sub>
              </m:sSub>
            </m:oMath>
          </w:p>
        </w:tc>
        <w:tc>
          <w:tcPr>
            <w:tcW w:w="3083" w:type="dxa"/>
            <w:tcBorders>
              <w:bottom w:val="single" w:sz="4" w:space="0" w:color="auto"/>
            </w:tcBorders>
            <w:vAlign w:val="center"/>
          </w:tcPr>
          <w:p w:rsidR="00D24ED3" w:rsidRPr="00C43E64" w:rsidRDefault="00D24ED3" w:rsidP="00A9076D">
            <w:pPr>
              <w:jc w:val="center"/>
              <w:rPr>
                <w:rFonts w:ascii="Times New Roman" w:hAnsi="Times New Roman" w:cs="Times New Roman"/>
                <w:b/>
                <w:sz w:val="20"/>
                <w:szCs w:val="20"/>
              </w:rPr>
            </w:pPr>
            <w:r w:rsidRPr="00C43E64">
              <w:rPr>
                <w:rFonts w:ascii="Times New Roman" w:hAnsi="Times New Roman" w:cs="Times New Roman"/>
                <w:b/>
                <w:sz w:val="20"/>
                <w:szCs w:val="20"/>
              </w:rPr>
              <w:t xml:space="preserve">Panel Regression with </w:t>
            </w:r>
            <m:oMath>
              <m:sSub>
                <m:sSubPr>
                  <m:ctrlPr>
                    <w:rPr>
                      <w:rFonts w:ascii="Cambria Math" w:hAnsi="Cambria Math" w:cs="Times New Roman"/>
                      <w:i/>
                      <w:sz w:val="20"/>
                      <w:szCs w:val="20"/>
                    </w:rPr>
                  </m:ctrlPr>
                </m:sSubPr>
                <m:e>
                  <m:r>
                    <w:rPr>
                      <w:rFonts w:ascii="Cambria Math" w:hAnsi="Cambria Math" w:cs="Times New Roman"/>
                      <w:sz w:val="20"/>
                      <w:szCs w:val="20"/>
                    </w:rPr>
                    <m:t>RET</m:t>
                  </m:r>
                </m:e>
                <m:sub>
                  <m:r>
                    <w:rPr>
                      <w:rFonts w:ascii="Cambria Math" w:hAnsi="Cambria Math" w:cs="Times New Roman"/>
                      <w:sz w:val="20"/>
                      <w:szCs w:val="20"/>
                    </w:rPr>
                    <m:t>t-1</m:t>
                  </m:r>
                </m:sub>
              </m:sSub>
            </m:oMath>
          </w:p>
        </w:tc>
      </w:tr>
      <w:tr w:rsidR="00CF399E" w:rsidRPr="00C43E64" w:rsidTr="00CF399E">
        <w:tc>
          <w:tcPr>
            <w:tcW w:w="1515" w:type="dxa"/>
            <w:vMerge w:val="restart"/>
            <w:tcBorders>
              <w:top w:val="single" w:sz="4" w:space="0" w:color="auto"/>
            </w:tcBorders>
            <w:vAlign w:val="center"/>
          </w:tcPr>
          <w:p w:rsidR="00CF399E" w:rsidRPr="00C43E64" w:rsidRDefault="00CF399E" w:rsidP="00A9076D">
            <w:pPr>
              <w:jc w:val="center"/>
              <w:rPr>
                <w:rFonts w:ascii="Times New Roman" w:hAnsi="Times New Roman" w:cs="Times New Roman"/>
                <w:b/>
                <w:sz w:val="20"/>
                <w:szCs w:val="20"/>
              </w:rPr>
            </w:pPr>
            <w:r w:rsidRPr="00C43E64">
              <w:rPr>
                <w:rFonts w:ascii="Times New Roman" w:hAnsi="Times New Roman" w:cs="Times New Roman"/>
                <w:b/>
                <w:sz w:val="20"/>
                <w:szCs w:val="20"/>
              </w:rPr>
              <w:t>DJIA</w:t>
            </w:r>
          </w:p>
        </w:tc>
        <w:tc>
          <w:tcPr>
            <w:tcW w:w="1344" w:type="dxa"/>
            <w:tcBorders>
              <w:top w:val="single" w:sz="4" w:space="0" w:color="auto"/>
            </w:tcBorders>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Intercept</w:t>
            </w:r>
          </w:p>
        </w:tc>
        <w:tc>
          <w:tcPr>
            <w:tcW w:w="3083" w:type="dxa"/>
            <w:tcBorders>
              <w:top w:val="single" w:sz="4" w:space="0" w:color="auto"/>
            </w:tcBorders>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0.0922*** (0.0249)</w:t>
            </w:r>
          </w:p>
        </w:tc>
        <w:tc>
          <w:tcPr>
            <w:tcW w:w="3083" w:type="dxa"/>
            <w:tcBorders>
              <w:top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0.1234*** (0.0256)</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GiE</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-0.0381*** (0.0140)</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-0.0165 (0.0146)</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ROE</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0.4865*** (0.1296)</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0.3196** (0.1332)</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-0.0276*** (0.0058)</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-0.0251*** (0.0058)</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-0.0319*** (0.0066)</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-0.0161** (0.0074)</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RET</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jc w:val="center"/>
              <w:rPr>
                <w:rFonts w:ascii="Times New Roman" w:hAnsi="Times New Roman" w:cs="Times New Roman"/>
                <w:sz w:val="20"/>
                <w:szCs w:val="20"/>
              </w:rPr>
            </w:pP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-0.1618*** (0.0345)</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Adjusted R</w:t>
            </w:r>
            <w:r w:rsidRPr="00C43E64">
              <w:rPr>
                <w:rFonts w:ascii="Times New Roman" w:hAnsi="Times New Roman" w:cs="Times New Roman"/>
                <w:sz w:val="20"/>
                <w:szCs w:val="20"/>
                <w:vertAlign w:val="superscript"/>
              </w:rPr>
              <w:t>2</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0.2463</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0.2616</w:t>
            </w:r>
          </w:p>
        </w:tc>
      </w:tr>
      <w:tr w:rsidR="00CF399E" w:rsidRPr="00C43E64" w:rsidTr="00CF399E">
        <w:tc>
          <w:tcPr>
            <w:tcW w:w="1515" w:type="dxa"/>
            <w:vMerge/>
            <w:tcBorders>
              <w:bottom w:val="single" w:sz="4" w:space="0" w:color="auto"/>
            </w:tcBorders>
            <w:vAlign w:val="center"/>
          </w:tcPr>
          <w:p w:rsidR="00CF399E" w:rsidRPr="00C43E64" w:rsidRDefault="00CF399E" w:rsidP="00A9076D">
            <w:pPr>
              <w:jc w:val="center"/>
              <w:rPr>
                <w:rFonts w:ascii="Times New Roman" w:hAnsi="Times New Roman" w:cs="Times New Roman"/>
                <w:b/>
                <w:sz w:val="20"/>
                <w:szCs w:val="20"/>
              </w:rPr>
            </w:pPr>
          </w:p>
        </w:tc>
        <w:tc>
          <w:tcPr>
            <w:tcW w:w="1344" w:type="dxa"/>
            <w:tcBorders>
              <w:bottom w:val="single" w:sz="4" w:space="0" w:color="auto"/>
            </w:tcBorders>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N</w:t>
            </w:r>
          </w:p>
        </w:tc>
        <w:tc>
          <w:tcPr>
            <w:tcW w:w="3083" w:type="dxa"/>
            <w:tcBorders>
              <w:bottom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1095</w:t>
            </w:r>
          </w:p>
        </w:tc>
        <w:tc>
          <w:tcPr>
            <w:tcW w:w="3083" w:type="dxa"/>
            <w:tcBorders>
              <w:bottom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1095</w:t>
            </w:r>
          </w:p>
        </w:tc>
      </w:tr>
      <w:tr w:rsidR="00CF399E" w:rsidRPr="00C43E64" w:rsidTr="00CF399E">
        <w:tc>
          <w:tcPr>
            <w:tcW w:w="1515" w:type="dxa"/>
            <w:vMerge w:val="restart"/>
            <w:tcBorders>
              <w:top w:val="single" w:sz="4" w:space="0" w:color="auto"/>
            </w:tcBorders>
            <w:vAlign w:val="center"/>
          </w:tcPr>
          <w:p w:rsidR="00CF399E" w:rsidRPr="00C43E64" w:rsidRDefault="00CF399E"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Mid Cap</w:t>
            </w:r>
          </w:p>
        </w:tc>
        <w:tc>
          <w:tcPr>
            <w:tcW w:w="1344" w:type="dxa"/>
            <w:tcBorders>
              <w:top w:val="single" w:sz="4" w:space="0" w:color="auto"/>
            </w:tcBorders>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Intercept</w:t>
            </w:r>
          </w:p>
        </w:tc>
        <w:tc>
          <w:tcPr>
            <w:tcW w:w="3083" w:type="dxa"/>
            <w:tcBorders>
              <w:top w:val="single" w:sz="4" w:space="0" w:color="auto"/>
            </w:tcBorders>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0.1417*** (0.0059)</w:t>
            </w:r>
          </w:p>
        </w:tc>
        <w:tc>
          <w:tcPr>
            <w:tcW w:w="3083" w:type="dxa"/>
            <w:tcBorders>
              <w:top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0.1594*** (0.0060)</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GiE</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-0.0100* (0.0056)</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0.0159*** (0.0059)</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ROE</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0.4235*** (0.0430)</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0.3210*** (0.0430)</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-0.0340*** (0.0028)</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-0.0284*** (0.0029)</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0.0029*** (0.0011)</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0.0048*** (0.0011)</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RET</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jc w:val="center"/>
              <w:rPr>
                <w:rFonts w:ascii="Times New Roman" w:hAnsi="Times New Roman" w:cs="Times New Roman"/>
                <w:sz w:val="20"/>
                <w:szCs w:val="20"/>
              </w:rPr>
            </w:pP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-0.1787*** (0.0120)</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Adjusted R</w:t>
            </w:r>
            <w:r w:rsidRPr="00C43E64">
              <w:rPr>
                <w:rFonts w:ascii="Times New Roman" w:hAnsi="Times New Roman" w:cs="Times New Roman"/>
                <w:sz w:val="20"/>
                <w:szCs w:val="20"/>
                <w:vertAlign w:val="superscript"/>
              </w:rPr>
              <w:t>2</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0.1379</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0.1634</w:t>
            </w:r>
          </w:p>
        </w:tc>
      </w:tr>
      <w:tr w:rsidR="00CF399E" w:rsidRPr="00C43E64" w:rsidTr="00CF399E">
        <w:tc>
          <w:tcPr>
            <w:tcW w:w="1515" w:type="dxa"/>
            <w:vMerge/>
            <w:tcBorders>
              <w:bottom w:val="single" w:sz="4" w:space="0" w:color="auto"/>
            </w:tcBorders>
            <w:vAlign w:val="center"/>
          </w:tcPr>
          <w:p w:rsidR="00CF399E" w:rsidRPr="00C43E64" w:rsidRDefault="00CF399E" w:rsidP="00A9076D">
            <w:pPr>
              <w:jc w:val="center"/>
              <w:rPr>
                <w:rFonts w:ascii="Times New Roman" w:hAnsi="Times New Roman" w:cs="Times New Roman"/>
                <w:b/>
                <w:sz w:val="20"/>
                <w:szCs w:val="20"/>
              </w:rPr>
            </w:pPr>
          </w:p>
        </w:tc>
        <w:tc>
          <w:tcPr>
            <w:tcW w:w="1344" w:type="dxa"/>
            <w:tcBorders>
              <w:bottom w:val="single" w:sz="4" w:space="0" w:color="auto"/>
            </w:tcBorders>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N</w:t>
            </w:r>
          </w:p>
        </w:tc>
        <w:tc>
          <w:tcPr>
            <w:tcW w:w="3083" w:type="dxa"/>
            <w:tcBorders>
              <w:bottom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7706</w:t>
            </w:r>
          </w:p>
        </w:tc>
        <w:tc>
          <w:tcPr>
            <w:tcW w:w="3083" w:type="dxa"/>
            <w:tcBorders>
              <w:bottom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7706</w:t>
            </w:r>
          </w:p>
        </w:tc>
      </w:tr>
      <w:tr w:rsidR="00CF399E" w:rsidRPr="00C43E64" w:rsidTr="00CF399E">
        <w:tc>
          <w:tcPr>
            <w:tcW w:w="1515" w:type="dxa"/>
            <w:vMerge w:val="restart"/>
            <w:tcBorders>
              <w:top w:val="single" w:sz="4" w:space="0" w:color="auto"/>
            </w:tcBorders>
            <w:vAlign w:val="center"/>
          </w:tcPr>
          <w:p w:rsidR="00CF399E" w:rsidRPr="00C43E64" w:rsidRDefault="00CF399E"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Small Cap</w:t>
            </w:r>
          </w:p>
        </w:tc>
        <w:tc>
          <w:tcPr>
            <w:tcW w:w="1344" w:type="dxa"/>
            <w:tcBorders>
              <w:top w:val="single" w:sz="4" w:space="0" w:color="auto"/>
            </w:tcBorders>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Intercept</w:t>
            </w:r>
          </w:p>
        </w:tc>
        <w:tc>
          <w:tcPr>
            <w:tcW w:w="3083" w:type="dxa"/>
            <w:tcBorders>
              <w:top w:val="single" w:sz="4" w:space="0" w:color="auto"/>
            </w:tcBorders>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0.1949*** (0.0087)</w:t>
            </w:r>
          </w:p>
        </w:tc>
        <w:tc>
          <w:tcPr>
            <w:tcW w:w="3083" w:type="dxa"/>
            <w:tcBorders>
              <w:top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0.2144*** (0.0087)</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GiE</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-0.0129** (0.0059)</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0.0194*** (0.0063)</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ROE</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0.7615*** (0.0684)</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0.5833*** (0.0686)</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-0.0698*** (0.0041)</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-0.0598*** (0.0042)</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0.0091*** (0.0021)</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0.0151*** (0.0022)</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RET</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jc w:val="center"/>
              <w:rPr>
                <w:rFonts w:ascii="Times New Roman" w:hAnsi="Times New Roman" w:cs="Times New Roman"/>
                <w:sz w:val="20"/>
                <w:szCs w:val="20"/>
              </w:rPr>
            </w:pP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-0.1683*** (0.0114)</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Adjusted R</w:t>
            </w:r>
            <w:r w:rsidRPr="00C43E64">
              <w:rPr>
                <w:rFonts w:ascii="Times New Roman" w:hAnsi="Times New Roman" w:cs="Times New Roman"/>
                <w:sz w:val="20"/>
                <w:szCs w:val="20"/>
                <w:vertAlign w:val="superscript"/>
              </w:rPr>
              <w:t>2</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0.1257</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0.1480</w:t>
            </w:r>
          </w:p>
        </w:tc>
      </w:tr>
      <w:tr w:rsidR="00CF399E" w:rsidRPr="00C43E64" w:rsidTr="00CF399E">
        <w:tc>
          <w:tcPr>
            <w:tcW w:w="1515" w:type="dxa"/>
            <w:vMerge/>
            <w:tcBorders>
              <w:bottom w:val="single" w:sz="4" w:space="0" w:color="auto"/>
            </w:tcBorders>
            <w:vAlign w:val="center"/>
          </w:tcPr>
          <w:p w:rsidR="00CF399E" w:rsidRPr="00C43E64" w:rsidRDefault="00CF399E" w:rsidP="00A9076D">
            <w:pPr>
              <w:jc w:val="center"/>
              <w:rPr>
                <w:rFonts w:ascii="Times New Roman" w:hAnsi="Times New Roman" w:cs="Times New Roman"/>
                <w:b/>
                <w:sz w:val="20"/>
                <w:szCs w:val="20"/>
              </w:rPr>
            </w:pPr>
          </w:p>
        </w:tc>
        <w:tc>
          <w:tcPr>
            <w:tcW w:w="1344" w:type="dxa"/>
            <w:tcBorders>
              <w:bottom w:val="single" w:sz="4" w:space="0" w:color="auto"/>
            </w:tcBorders>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N</w:t>
            </w:r>
          </w:p>
        </w:tc>
        <w:tc>
          <w:tcPr>
            <w:tcW w:w="3083" w:type="dxa"/>
            <w:tcBorders>
              <w:bottom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8938</w:t>
            </w:r>
          </w:p>
        </w:tc>
        <w:tc>
          <w:tcPr>
            <w:tcW w:w="3083" w:type="dxa"/>
            <w:tcBorders>
              <w:bottom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8938</w:t>
            </w:r>
          </w:p>
        </w:tc>
      </w:tr>
      <w:tr w:rsidR="00CF399E" w:rsidRPr="00C43E64" w:rsidTr="00CF399E">
        <w:tc>
          <w:tcPr>
            <w:tcW w:w="1515" w:type="dxa"/>
            <w:vMerge w:val="restart"/>
            <w:tcBorders>
              <w:top w:val="single" w:sz="4" w:space="0" w:color="auto"/>
            </w:tcBorders>
            <w:vAlign w:val="center"/>
          </w:tcPr>
          <w:p w:rsidR="00CF399E" w:rsidRPr="00C43E64" w:rsidRDefault="00CF399E" w:rsidP="00A9076D">
            <w:pPr>
              <w:jc w:val="center"/>
              <w:rPr>
                <w:rFonts w:ascii="Times New Roman" w:hAnsi="Times New Roman" w:cs="Times New Roman"/>
                <w:b/>
                <w:sz w:val="20"/>
                <w:szCs w:val="20"/>
              </w:rPr>
            </w:pPr>
            <w:r w:rsidRPr="00C43E64">
              <w:rPr>
                <w:rFonts w:ascii="Times New Roman" w:hAnsi="Times New Roman" w:cs="Times New Roman"/>
                <w:b/>
                <w:sz w:val="20"/>
                <w:szCs w:val="20"/>
              </w:rPr>
              <w:t>S&amp;P 1500</w:t>
            </w:r>
          </w:p>
        </w:tc>
        <w:tc>
          <w:tcPr>
            <w:tcW w:w="1344" w:type="dxa"/>
            <w:tcBorders>
              <w:top w:val="single" w:sz="4" w:space="0" w:color="auto"/>
            </w:tcBorders>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Intercept</w:t>
            </w:r>
          </w:p>
        </w:tc>
        <w:tc>
          <w:tcPr>
            <w:tcW w:w="3083" w:type="dxa"/>
            <w:tcBorders>
              <w:top w:val="single" w:sz="4" w:space="0" w:color="auto"/>
            </w:tcBorders>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0.1292*** (0.0032)</w:t>
            </w:r>
          </w:p>
        </w:tc>
        <w:tc>
          <w:tcPr>
            <w:tcW w:w="3083" w:type="dxa"/>
            <w:tcBorders>
              <w:top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0.1492*** (0.0032)</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GiE</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-0.0143*** (0.0030)</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0.0152*** (0.0032)</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ROE</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0.3412*** (0.0212)</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0.2599*** (0.0210)</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-0.0236*** (0.0011)</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-0.0203*** (0.0012)</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(∆PB)</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autoSpaceDE w:val="0"/>
              <w:autoSpaceDN w:val="0"/>
              <w:adjustRightInd w:val="0"/>
              <w:ind w:right="10"/>
              <w:jc w:val="center"/>
              <w:rPr>
                <w:rFonts w:ascii="Times New Roman" w:hAnsi="Times New Roman" w:cs="Times New Roman"/>
                <w:sz w:val="20"/>
                <w:szCs w:val="20"/>
              </w:rPr>
            </w:pPr>
            <w:r w:rsidRPr="00C43E64">
              <w:rPr>
                <w:rFonts w:ascii="Times New Roman" w:hAnsi="Times New Roman" w:cs="Times New Roman"/>
                <w:sz w:val="20"/>
                <w:szCs w:val="20"/>
              </w:rPr>
              <w:t>0.0015*** (0.0005)</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0.0034*** (0.0006)</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FC1B4D" w:rsidP="00A9076D">
            <w:pPr>
              <w:autoSpaceDE w:val="0"/>
              <w:autoSpaceDN w:val="0"/>
              <w:adjustRightInd w:val="0"/>
              <w:jc w:val="center"/>
              <w:rPr>
                <w:rFonts w:ascii="Times New Roman" w:hAnsi="Times New Roman" w:cs="Times New Roman"/>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RET</m:t>
                    </m:r>
                  </m:e>
                  <m:sub>
                    <m:r>
                      <w:rPr>
                        <w:rFonts w:ascii="Cambria Math" w:hAnsi="Cambria Math" w:cs="Times New Roman"/>
                        <w:sz w:val="20"/>
                        <w:szCs w:val="20"/>
                      </w:rPr>
                      <m:t>t-1</m:t>
                    </m:r>
                  </m:sub>
                </m:sSub>
              </m:oMath>
            </m:oMathPara>
          </w:p>
        </w:tc>
        <w:tc>
          <w:tcPr>
            <w:tcW w:w="3083" w:type="dxa"/>
            <w:vAlign w:val="center"/>
          </w:tcPr>
          <w:p w:rsidR="00CF399E" w:rsidRPr="00C43E64" w:rsidRDefault="00CF399E" w:rsidP="00A9076D">
            <w:pPr>
              <w:jc w:val="center"/>
              <w:rPr>
                <w:rFonts w:ascii="Times New Roman" w:hAnsi="Times New Roman" w:cs="Times New Roman"/>
                <w:sz w:val="20"/>
                <w:szCs w:val="20"/>
              </w:rPr>
            </w:pP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-0.1828*** (0.0061)</w:t>
            </w:r>
          </w:p>
        </w:tc>
      </w:tr>
      <w:tr w:rsidR="00CF399E" w:rsidRPr="00C43E64" w:rsidTr="00CF399E">
        <w:tc>
          <w:tcPr>
            <w:tcW w:w="1515" w:type="dxa"/>
            <w:vMerge/>
            <w:vAlign w:val="center"/>
          </w:tcPr>
          <w:p w:rsidR="00CF399E" w:rsidRPr="00C43E64" w:rsidRDefault="00CF399E" w:rsidP="00A9076D">
            <w:pPr>
              <w:jc w:val="center"/>
              <w:rPr>
                <w:rFonts w:ascii="Times New Roman" w:hAnsi="Times New Roman" w:cs="Times New Roman"/>
                <w:b/>
                <w:sz w:val="20"/>
                <w:szCs w:val="20"/>
              </w:rPr>
            </w:pPr>
          </w:p>
        </w:tc>
        <w:tc>
          <w:tcPr>
            <w:tcW w:w="1344" w:type="dxa"/>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Adjusted R</w:t>
            </w:r>
            <w:r w:rsidRPr="00C43E64">
              <w:rPr>
                <w:rFonts w:ascii="Times New Roman" w:hAnsi="Times New Roman" w:cs="Times New Roman"/>
                <w:sz w:val="20"/>
                <w:szCs w:val="20"/>
                <w:vertAlign w:val="superscript"/>
              </w:rPr>
              <w:t>2</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0.1360</w:t>
            </w:r>
          </w:p>
        </w:tc>
        <w:tc>
          <w:tcPr>
            <w:tcW w:w="3083" w:type="dxa"/>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0.1633</w:t>
            </w:r>
          </w:p>
        </w:tc>
      </w:tr>
      <w:tr w:rsidR="00CF399E" w:rsidRPr="00C43E64" w:rsidTr="00CF399E">
        <w:tc>
          <w:tcPr>
            <w:tcW w:w="1515" w:type="dxa"/>
            <w:vMerge/>
            <w:tcBorders>
              <w:bottom w:val="single" w:sz="4" w:space="0" w:color="auto"/>
            </w:tcBorders>
            <w:vAlign w:val="center"/>
          </w:tcPr>
          <w:p w:rsidR="00CF399E" w:rsidRPr="00C43E64" w:rsidRDefault="00CF399E" w:rsidP="00A9076D">
            <w:pPr>
              <w:jc w:val="center"/>
              <w:rPr>
                <w:rFonts w:ascii="Times New Roman" w:hAnsi="Times New Roman" w:cs="Times New Roman"/>
                <w:b/>
                <w:sz w:val="20"/>
                <w:szCs w:val="20"/>
              </w:rPr>
            </w:pPr>
          </w:p>
        </w:tc>
        <w:tc>
          <w:tcPr>
            <w:tcW w:w="1344" w:type="dxa"/>
            <w:tcBorders>
              <w:bottom w:val="single" w:sz="4" w:space="0" w:color="auto"/>
            </w:tcBorders>
            <w:vAlign w:val="center"/>
          </w:tcPr>
          <w:p w:rsidR="00CF399E" w:rsidRPr="00C43E64" w:rsidRDefault="00CF399E" w:rsidP="00A9076D">
            <w:pPr>
              <w:autoSpaceDE w:val="0"/>
              <w:autoSpaceDN w:val="0"/>
              <w:adjustRightInd w:val="0"/>
              <w:jc w:val="center"/>
              <w:rPr>
                <w:rFonts w:ascii="Times New Roman" w:hAnsi="Times New Roman" w:cs="Times New Roman"/>
                <w:sz w:val="20"/>
                <w:szCs w:val="20"/>
              </w:rPr>
            </w:pPr>
            <w:r w:rsidRPr="00C43E64">
              <w:rPr>
                <w:rFonts w:ascii="Times New Roman" w:hAnsi="Times New Roman" w:cs="Times New Roman"/>
                <w:sz w:val="20"/>
                <w:szCs w:val="20"/>
              </w:rPr>
              <w:t>N</w:t>
            </w:r>
          </w:p>
        </w:tc>
        <w:tc>
          <w:tcPr>
            <w:tcW w:w="3083" w:type="dxa"/>
            <w:tcBorders>
              <w:bottom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28919</w:t>
            </w:r>
          </w:p>
        </w:tc>
        <w:tc>
          <w:tcPr>
            <w:tcW w:w="3083" w:type="dxa"/>
            <w:tcBorders>
              <w:bottom w:val="single" w:sz="4" w:space="0" w:color="auto"/>
            </w:tcBorders>
            <w:vAlign w:val="center"/>
          </w:tcPr>
          <w:p w:rsidR="00CF399E" w:rsidRPr="00C43E64" w:rsidRDefault="00CF399E" w:rsidP="00A9076D">
            <w:pPr>
              <w:jc w:val="center"/>
              <w:rPr>
                <w:rFonts w:ascii="Times New Roman" w:hAnsi="Times New Roman" w:cs="Times New Roman"/>
                <w:sz w:val="20"/>
                <w:szCs w:val="20"/>
              </w:rPr>
            </w:pPr>
            <w:r w:rsidRPr="00C43E64">
              <w:rPr>
                <w:rFonts w:ascii="Times New Roman" w:hAnsi="Times New Roman" w:cs="Times New Roman"/>
                <w:sz w:val="20"/>
                <w:szCs w:val="20"/>
              </w:rPr>
              <w:t>28919</w:t>
            </w:r>
          </w:p>
        </w:tc>
      </w:tr>
    </w:tbl>
    <w:p w:rsidR="00D24ED3" w:rsidRPr="00C43E64" w:rsidRDefault="00D24ED3" w:rsidP="00A9076D">
      <w:pPr>
        <w:spacing w:line="240" w:lineRule="auto"/>
        <w:rPr>
          <w:rFonts w:ascii="Times New Roman" w:hAnsi="Times New Roman" w:cs="Times New Roman"/>
        </w:rPr>
      </w:pPr>
      <w:r w:rsidRPr="00C43E64">
        <w:rPr>
          <w:rFonts w:ascii="Times New Roman" w:hAnsi="Times New Roman" w:cs="Times New Roman"/>
          <w:sz w:val="20"/>
          <w:szCs w:val="20"/>
        </w:rPr>
        <w:t>***, **, and * indicate the statistical significance at 1%, 5%, and 10% respectively.</w:t>
      </w:r>
    </w:p>
    <w:p w:rsidR="00CF399E" w:rsidRPr="00C43E64" w:rsidRDefault="00CF399E">
      <w:pPr>
        <w:rPr>
          <w:rFonts w:ascii="Times New Roman" w:hAnsi="Times New Roman" w:cs="Times New Roman"/>
          <w:b/>
          <w:caps/>
        </w:rPr>
      </w:pPr>
      <w:r w:rsidRPr="00C43E64">
        <w:rPr>
          <w:rFonts w:ascii="Times New Roman" w:hAnsi="Times New Roman" w:cs="Times New Roman"/>
          <w:b/>
          <w:caps/>
        </w:rPr>
        <w:br w:type="page"/>
      </w:r>
    </w:p>
    <w:p w:rsidR="00335DC1" w:rsidRPr="00263279" w:rsidRDefault="003D30A3" w:rsidP="00A9076D">
      <w:pPr>
        <w:spacing w:after="0" w:line="360" w:lineRule="auto"/>
        <w:jc w:val="both"/>
        <w:rPr>
          <w:rFonts w:ascii="Times New Roman" w:hAnsi="Times New Roman" w:cs="Times New Roman"/>
          <w:b/>
          <w:sz w:val="30"/>
          <w:szCs w:val="30"/>
        </w:rPr>
      </w:pPr>
      <w:r w:rsidRPr="00263279">
        <w:rPr>
          <w:rFonts w:ascii="Times New Roman" w:hAnsi="Times New Roman" w:cs="Times New Roman"/>
          <w:b/>
          <w:sz w:val="30"/>
          <w:szCs w:val="30"/>
        </w:rPr>
        <w:lastRenderedPageBreak/>
        <w:t>References</w:t>
      </w:r>
    </w:p>
    <w:p w:rsidR="00381685" w:rsidRPr="00263279" w:rsidRDefault="00381685" w:rsidP="007D0623">
      <w:pPr>
        <w:pStyle w:val="a3"/>
        <w:autoSpaceDE w:val="0"/>
        <w:autoSpaceDN w:val="0"/>
        <w:adjustRightInd w:val="0"/>
        <w:spacing w:after="0" w:line="360" w:lineRule="auto"/>
        <w:ind w:left="0"/>
        <w:jc w:val="both"/>
        <w:rPr>
          <w:rFonts w:ascii="Times New Roman" w:hAnsi="Times New Roman" w:cs="Times New Roman"/>
          <w:sz w:val="20"/>
          <w:szCs w:val="20"/>
        </w:rPr>
      </w:pPr>
      <w:r w:rsidRPr="00263279">
        <w:rPr>
          <w:rFonts w:ascii="Times New Roman" w:hAnsi="Times New Roman" w:cs="Times New Roman"/>
          <w:sz w:val="20"/>
          <w:szCs w:val="20"/>
        </w:rPr>
        <w:t xml:space="preserve">Beaver, W., </w:t>
      </w:r>
      <w:r w:rsidRPr="00263279">
        <w:rPr>
          <w:rFonts w:ascii="Times New Roman" w:hAnsi="Times New Roman" w:cs="Times New Roman"/>
          <w:i/>
          <w:sz w:val="20"/>
          <w:szCs w:val="20"/>
        </w:rPr>
        <w:t>Financial Repor</w:t>
      </w:r>
      <w:r w:rsidR="00263279" w:rsidRPr="00263279">
        <w:rPr>
          <w:rFonts w:ascii="Times New Roman" w:hAnsi="Times New Roman" w:cs="Times New Roman"/>
          <w:i/>
          <w:sz w:val="20"/>
          <w:szCs w:val="20"/>
        </w:rPr>
        <w:t>ting: An Accounting Revolution</w:t>
      </w:r>
      <w:r w:rsidR="00263279" w:rsidRPr="00263279">
        <w:rPr>
          <w:rFonts w:ascii="Times New Roman" w:hAnsi="Times New Roman" w:cs="Times New Roman" w:hint="eastAsia"/>
          <w:sz w:val="20"/>
          <w:szCs w:val="20"/>
        </w:rPr>
        <w:t xml:space="preserve">, </w:t>
      </w:r>
      <w:r w:rsidR="00263279" w:rsidRPr="00263279">
        <w:rPr>
          <w:rFonts w:ascii="Times New Roman" w:hAnsi="Times New Roman" w:cs="Times New Roman"/>
          <w:sz w:val="20"/>
          <w:szCs w:val="20"/>
        </w:rPr>
        <w:t>Prentice-Hall</w:t>
      </w:r>
      <w:r w:rsidR="00263279" w:rsidRP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Englewood Cliffs, N.J</w:t>
      </w:r>
      <w:r w:rsidR="00263279" w:rsidRP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w:t>
      </w:r>
      <w:r w:rsidR="00263279" w:rsidRPr="00263279">
        <w:rPr>
          <w:rFonts w:ascii="Times New Roman" w:hAnsi="Times New Roman" w:cs="Times New Roman"/>
          <w:sz w:val="20"/>
          <w:szCs w:val="20"/>
        </w:rPr>
        <w:t>1989</w:t>
      </w:r>
      <w:r w:rsidR="00263279" w:rsidRPr="00263279">
        <w:rPr>
          <w:rFonts w:ascii="Times New Roman" w:hAnsi="Times New Roman" w:cs="Times New Roman" w:hint="eastAsia"/>
          <w:sz w:val="20"/>
          <w:szCs w:val="20"/>
        </w:rPr>
        <w:t>.</w:t>
      </w:r>
    </w:p>
    <w:p w:rsidR="00263279" w:rsidRDefault="005E4514" w:rsidP="007D0623">
      <w:pPr>
        <w:pStyle w:val="a3"/>
        <w:autoSpaceDE w:val="0"/>
        <w:autoSpaceDN w:val="0"/>
        <w:adjustRightInd w:val="0"/>
        <w:spacing w:after="0" w:line="360" w:lineRule="auto"/>
        <w:ind w:left="0"/>
        <w:jc w:val="both"/>
        <w:rPr>
          <w:rFonts w:ascii="Times New Roman" w:hAnsi="Times New Roman" w:cs="Times New Roman"/>
          <w:sz w:val="20"/>
          <w:szCs w:val="20"/>
        </w:rPr>
      </w:pPr>
      <w:r w:rsidRPr="00263279">
        <w:rPr>
          <w:rFonts w:ascii="Times New Roman" w:hAnsi="Times New Roman" w:cs="Times New Roman"/>
          <w:sz w:val="20"/>
          <w:szCs w:val="20"/>
        </w:rPr>
        <w:t xml:space="preserve">Bernard, V., </w:t>
      </w:r>
      <w:r w:rsidR="00381685" w:rsidRPr="00263279">
        <w:rPr>
          <w:rFonts w:ascii="Times New Roman" w:hAnsi="Times New Roman" w:cs="Times New Roman"/>
          <w:sz w:val="20"/>
          <w:szCs w:val="20"/>
        </w:rPr>
        <w:t>Capital market research in accounting during t</w:t>
      </w:r>
      <w:r w:rsidRPr="00263279">
        <w:rPr>
          <w:rFonts w:ascii="Times New Roman" w:hAnsi="Times New Roman" w:cs="Times New Roman"/>
          <w:sz w:val="20"/>
          <w:szCs w:val="20"/>
        </w:rPr>
        <w:t>he 1980s: A critical review, in</w:t>
      </w:r>
      <w:r w:rsidR="00381685" w:rsidRPr="00263279">
        <w:rPr>
          <w:rFonts w:ascii="Times New Roman" w:hAnsi="Times New Roman" w:cs="Times New Roman"/>
          <w:sz w:val="20"/>
          <w:szCs w:val="20"/>
        </w:rPr>
        <w:t xml:space="preserve"> </w:t>
      </w:r>
      <w:r w:rsidRPr="00263279">
        <w:rPr>
          <w:rFonts w:ascii="Times New Roman" w:hAnsi="Times New Roman" w:cs="Times New Roman" w:hint="eastAsia"/>
          <w:sz w:val="20"/>
          <w:szCs w:val="20"/>
        </w:rPr>
        <w:t xml:space="preserve">T. J. </w:t>
      </w:r>
      <w:r w:rsidRPr="00263279">
        <w:rPr>
          <w:rFonts w:ascii="Times New Roman" w:hAnsi="Times New Roman" w:cs="Times New Roman"/>
          <w:sz w:val="20"/>
          <w:szCs w:val="20"/>
        </w:rPr>
        <w:t>Frecka</w:t>
      </w:r>
      <w:r w:rsidRPr="00263279">
        <w:rPr>
          <w:rFonts w:ascii="Times New Roman" w:hAnsi="Times New Roman" w:cs="Times New Roman" w:hint="eastAsia"/>
          <w:sz w:val="20"/>
          <w:szCs w:val="20"/>
        </w:rPr>
        <w:t>, e</w:t>
      </w:r>
      <w:r w:rsidRPr="00263279">
        <w:rPr>
          <w:rFonts w:ascii="Times New Roman" w:hAnsi="Times New Roman" w:cs="Times New Roman"/>
          <w:sz w:val="20"/>
          <w:szCs w:val="20"/>
        </w:rPr>
        <w:t>d.</w:t>
      </w:r>
      <w:r w:rsidRPr="00263279">
        <w:rPr>
          <w:rFonts w:ascii="Times New Roman" w:hAnsi="Times New Roman" w:cs="Times New Roman" w:hint="eastAsia"/>
          <w:sz w:val="20"/>
          <w:szCs w:val="20"/>
        </w:rPr>
        <w:t>:</w:t>
      </w:r>
      <w:r w:rsidR="00381685" w:rsidRPr="00263279">
        <w:rPr>
          <w:rFonts w:ascii="Times New Roman" w:hAnsi="Times New Roman" w:cs="Times New Roman"/>
          <w:sz w:val="20"/>
          <w:szCs w:val="20"/>
        </w:rPr>
        <w:t xml:space="preserve"> The State of Accounting</w:t>
      </w:r>
      <w:r w:rsidRPr="00263279">
        <w:rPr>
          <w:rFonts w:ascii="Times New Roman" w:hAnsi="Times New Roman" w:cs="Times New Roman"/>
          <w:sz w:val="20"/>
          <w:szCs w:val="20"/>
        </w:rPr>
        <w:t xml:space="preserve"> Research as We Enter the 1990s</w:t>
      </w:r>
      <w:r w:rsidR="00263279">
        <w:rPr>
          <w:rFonts w:ascii="Times New Roman" w:hAnsi="Times New Roman" w:cs="Times New Roman" w:hint="eastAsia"/>
          <w:sz w:val="20"/>
          <w:szCs w:val="20"/>
        </w:rPr>
        <w:t xml:space="preserve">, </w:t>
      </w:r>
      <w:r w:rsidR="00381685" w:rsidRPr="00263279">
        <w:rPr>
          <w:rFonts w:ascii="Times New Roman" w:hAnsi="Times New Roman" w:cs="Times New Roman"/>
          <w:sz w:val="20"/>
          <w:szCs w:val="20"/>
        </w:rPr>
        <w:t>University of Illinois at Urbana-Champaign, Urbana, IL</w:t>
      </w:r>
      <w:r w:rsidR="00263279">
        <w:rPr>
          <w:rFonts w:ascii="Times New Roman" w:hAnsi="Times New Roman" w:cs="Times New Roman" w:hint="eastAsia"/>
          <w:sz w:val="20"/>
          <w:szCs w:val="20"/>
        </w:rPr>
        <w:t xml:space="preserve">, </w:t>
      </w:r>
      <w:r w:rsidR="00263279" w:rsidRPr="00263279">
        <w:rPr>
          <w:rFonts w:ascii="Times New Roman" w:hAnsi="Times New Roman" w:cs="Times New Roman"/>
          <w:sz w:val="20"/>
          <w:szCs w:val="20"/>
        </w:rPr>
        <w:t>1989</w:t>
      </w:r>
      <w:r w:rsidR="00263279">
        <w:rPr>
          <w:rFonts w:ascii="Times New Roman" w:hAnsi="Times New Roman" w:cs="Times New Roman" w:hint="eastAsia"/>
          <w:sz w:val="20"/>
          <w:szCs w:val="20"/>
        </w:rPr>
        <w:t>.</w:t>
      </w:r>
    </w:p>
    <w:p w:rsidR="00381685" w:rsidRPr="00263279" w:rsidRDefault="00381685" w:rsidP="007D0623">
      <w:pPr>
        <w:pStyle w:val="a3"/>
        <w:autoSpaceDE w:val="0"/>
        <w:autoSpaceDN w:val="0"/>
        <w:adjustRightInd w:val="0"/>
        <w:spacing w:after="0" w:line="360" w:lineRule="auto"/>
        <w:ind w:left="0"/>
        <w:jc w:val="both"/>
        <w:rPr>
          <w:rFonts w:ascii="Times New Roman" w:hAnsi="Times New Roman" w:cs="Times New Roman"/>
          <w:sz w:val="20"/>
          <w:szCs w:val="20"/>
        </w:rPr>
      </w:pPr>
      <w:r w:rsidRPr="00263279">
        <w:rPr>
          <w:rFonts w:ascii="Times New Roman" w:hAnsi="Times New Roman" w:cs="Times New Roman"/>
          <w:sz w:val="20"/>
          <w:szCs w:val="20"/>
        </w:rPr>
        <w:t xml:space="preserve">Chan, L., </w:t>
      </w:r>
      <w:r w:rsidR="005E4514" w:rsidRPr="00263279">
        <w:rPr>
          <w:rFonts w:ascii="Times New Roman" w:hAnsi="Times New Roman" w:cs="Times New Roman" w:hint="eastAsia"/>
          <w:sz w:val="20"/>
          <w:szCs w:val="20"/>
        </w:rPr>
        <w:t xml:space="preserve">Y. </w:t>
      </w:r>
      <w:r w:rsidR="005E4514" w:rsidRPr="00263279">
        <w:rPr>
          <w:rFonts w:ascii="Times New Roman" w:hAnsi="Times New Roman" w:cs="Times New Roman"/>
          <w:sz w:val="20"/>
          <w:szCs w:val="20"/>
        </w:rPr>
        <w:t>Hamao</w:t>
      </w:r>
      <w:r w:rsidRPr="00263279">
        <w:rPr>
          <w:rFonts w:ascii="Times New Roman" w:hAnsi="Times New Roman" w:cs="Times New Roman"/>
          <w:sz w:val="20"/>
          <w:szCs w:val="20"/>
        </w:rPr>
        <w:t xml:space="preserve">, </w:t>
      </w:r>
      <w:r w:rsidR="005E4514" w:rsidRPr="00263279">
        <w:rPr>
          <w:rFonts w:ascii="Times New Roman" w:hAnsi="Times New Roman" w:cs="Times New Roman" w:hint="eastAsia"/>
          <w:sz w:val="20"/>
          <w:szCs w:val="20"/>
        </w:rPr>
        <w:t xml:space="preserve">and K. </w:t>
      </w:r>
      <w:r w:rsidR="005E4514" w:rsidRPr="00263279">
        <w:rPr>
          <w:rFonts w:ascii="Times New Roman" w:hAnsi="Times New Roman" w:cs="Times New Roman"/>
          <w:sz w:val="20"/>
          <w:szCs w:val="20"/>
        </w:rPr>
        <w:t xml:space="preserve">Lakonishok, </w:t>
      </w:r>
      <w:r w:rsidR="00263279">
        <w:rPr>
          <w:rFonts w:ascii="Times New Roman" w:hAnsi="Times New Roman" w:cs="Times New Roman"/>
          <w:sz w:val="20"/>
          <w:szCs w:val="20"/>
        </w:rPr>
        <w:t>“</w:t>
      </w:r>
      <w:r w:rsidRPr="00263279">
        <w:rPr>
          <w:rFonts w:ascii="Times New Roman" w:hAnsi="Times New Roman" w:cs="Times New Roman"/>
          <w:sz w:val="20"/>
          <w:szCs w:val="20"/>
        </w:rPr>
        <w:t>Fundamen</w:t>
      </w:r>
      <w:r w:rsidR="00263279">
        <w:rPr>
          <w:rFonts w:ascii="Times New Roman" w:hAnsi="Times New Roman" w:cs="Times New Roman"/>
          <w:sz w:val="20"/>
          <w:szCs w:val="20"/>
        </w:rPr>
        <w:t xml:space="preserve">tals and </w:t>
      </w:r>
      <w:r w:rsidR="00263279">
        <w:rPr>
          <w:rFonts w:ascii="Times New Roman" w:hAnsi="Times New Roman" w:cs="Times New Roman" w:hint="eastAsia"/>
          <w:sz w:val="20"/>
          <w:szCs w:val="20"/>
        </w:rPr>
        <w:t>S</w:t>
      </w:r>
      <w:r w:rsidR="00263279">
        <w:rPr>
          <w:rFonts w:ascii="Times New Roman" w:hAnsi="Times New Roman" w:cs="Times New Roman"/>
          <w:sz w:val="20"/>
          <w:szCs w:val="20"/>
        </w:rPr>
        <w:t xml:space="preserve">tock </w:t>
      </w:r>
      <w:r w:rsidR="00263279">
        <w:rPr>
          <w:rFonts w:ascii="Times New Roman" w:hAnsi="Times New Roman" w:cs="Times New Roman" w:hint="eastAsia"/>
          <w:sz w:val="20"/>
          <w:szCs w:val="20"/>
        </w:rPr>
        <w:t>R</w:t>
      </w:r>
      <w:r w:rsidR="005E4514" w:rsidRPr="00263279">
        <w:rPr>
          <w:rFonts w:ascii="Times New Roman" w:hAnsi="Times New Roman" w:cs="Times New Roman"/>
          <w:sz w:val="20"/>
          <w:szCs w:val="20"/>
        </w:rPr>
        <w:t>eturns in Japan</w:t>
      </w:r>
      <w:r w:rsidR="005E4514" w:rsidRPr="00263279">
        <w:rPr>
          <w:rFonts w:ascii="Times New Roman" w:hAnsi="Times New Roman" w:cs="Times New Roman" w:hint="eastAsia"/>
          <w:sz w:val="20"/>
          <w:szCs w:val="20"/>
        </w:rPr>
        <w:t>,</w:t>
      </w:r>
      <w:r w:rsidR="00263279">
        <w:rPr>
          <w:rFonts w:ascii="Times New Roman" w:hAnsi="Times New Roman" w:cs="Times New Roman"/>
          <w:sz w:val="20"/>
          <w:szCs w:val="20"/>
        </w:rPr>
        <w:t>”</w:t>
      </w:r>
      <w:r w:rsidR="005E4514" w:rsidRPr="00263279">
        <w:rPr>
          <w:rFonts w:ascii="Times New Roman" w:hAnsi="Times New Roman" w:cs="Times New Roman"/>
          <w:sz w:val="20"/>
          <w:szCs w:val="20"/>
        </w:rPr>
        <w:t xml:space="preserve"> The Journal of Finance</w:t>
      </w:r>
      <w:r w:rsid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46,</w:t>
      </w:r>
      <w:r w:rsidR="00263279">
        <w:rPr>
          <w:rFonts w:ascii="Times New Roman" w:hAnsi="Times New Roman" w:cs="Times New Roman" w:hint="eastAsia"/>
          <w:sz w:val="20"/>
          <w:szCs w:val="20"/>
        </w:rPr>
        <w:t xml:space="preserve"> (</w:t>
      </w:r>
      <w:r w:rsidR="00263279" w:rsidRPr="00263279">
        <w:rPr>
          <w:rFonts w:ascii="Times New Roman" w:hAnsi="Times New Roman" w:cs="Times New Roman"/>
          <w:sz w:val="20"/>
          <w:szCs w:val="20"/>
        </w:rPr>
        <w:t>1991</w:t>
      </w:r>
      <w:r w:rsid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1739-1764.</w:t>
      </w:r>
    </w:p>
    <w:p w:rsidR="00381685" w:rsidRPr="00263279" w:rsidRDefault="005E4514" w:rsidP="007D0623">
      <w:pPr>
        <w:pStyle w:val="a3"/>
        <w:autoSpaceDE w:val="0"/>
        <w:autoSpaceDN w:val="0"/>
        <w:adjustRightInd w:val="0"/>
        <w:spacing w:after="0" w:line="360" w:lineRule="auto"/>
        <w:ind w:left="0"/>
        <w:jc w:val="both"/>
        <w:rPr>
          <w:rFonts w:ascii="Times New Roman" w:hAnsi="Times New Roman" w:cs="Times New Roman"/>
          <w:sz w:val="20"/>
          <w:szCs w:val="20"/>
        </w:rPr>
      </w:pPr>
      <w:r w:rsidRPr="00263279">
        <w:rPr>
          <w:rFonts w:ascii="Times New Roman" w:hAnsi="Times New Roman" w:cs="Times New Roman"/>
          <w:sz w:val="20"/>
          <w:szCs w:val="20"/>
        </w:rPr>
        <w:t xml:space="preserve">Estep, P., </w:t>
      </w:r>
      <w:r w:rsidR="00263279">
        <w:rPr>
          <w:rFonts w:ascii="Times New Roman" w:hAnsi="Times New Roman" w:cs="Times New Roman"/>
          <w:sz w:val="20"/>
          <w:szCs w:val="20"/>
        </w:rPr>
        <w:t xml:space="preserve">“A </w:t>
      </w:r>
      <w:r w:rsidR="00263279">
        <w:rPr>
          <w:rFonts w:ascii="Times New Roman" w:hAnsi="Times New Roman" w:cs="Times New Roman" w:hint="eastAsia"/>
          <w:sz w:val="20"/>
          <w:szCs w:val="20"/>
        </w:rPr>
        <w:t>N</w:t>
      </w:r>
      <w:r w:rsidR="00263279">
        <w:rPr>
          <w:rFonts w:ascii="Times New Roman" w:hAnsi="Times New Roman" w:cs="Times New Roman"/>
          <w:sz w:val="20"/>
          <w:szCs w:val="20"/>
        </w:rPr>
        <w:t xml:space="preserve">ew </w:t>
      </w:r>
      <w:r w:rsidR="00263279">
        <w:rPr>
          <w:rFonts w:ascii="Times New Roman" w:hAnsi="Times New Roman" w:cs="Times New Roman" w:hint="eastAsia"/>
          <w:sz w:val="20"/>
          <w:szCs w:val="20"/>
        </w:rPr>
        <w:t>M</w:t>
      </w:r>
      <w:r w:rsidR="00263279">
        <w:rPr>
          <w:rFonts w:ascii="Times New Roman" w:hAnsi="Times New Roman" w:cs="Times New Roman"/>
          <w:sz w:val="20"/>
          <w:szCs w:val="20"/>
        </w:rPr>
        <w:t xml:space="preserve">ethod for </w:t>
      </w:r>
      <w:r w:rsidR="00263279">
        <w:rPr>
          <w:rFonts w:ascii="Times New Roman" w:hAnsi="Times New Roman" w:cs="Times New Roman" w:hint="eastAsia"/>
          <w:sz w:val="20"/>
          <w:szCs w:val="20"/>
        </w:rPr>
        <w:t>V</w:t>
      </w:r>
      <w:r w:rsidR="00263279">
        <w:rPr>
          <w:rFonts w:ascii="Times New Roman" w:hAnsi="Times New Roman" w:cs="Times New Roman"/>
          <w:sz w:val="20"/>
          <w:szCs w:val="20"/>
        </w:rPr>
        <w:t xml:space="preserve">aluing </w:t>
      </w:r>
      <w:r w:rsidR="00263279">
        <w:rPr>
          <w:rFonts w:ascii="Times New Roman" w:hAnsi="Times New Roman" w:cs="Times New Roman" w:hint="eastAsia"/>
          <w:sz w:val="20"/>
          <w:szCs w:val="20"/>
        </w:rPr>
        <w:t>C</w:t>
      </w:r>
      <w:r w:rsidR="00263279">
        <w:rPr>
          <w:rFonts w:ascii="Times New Roman" w:hAnsi="Times New Roman" w:cs="Times New Roman"/>
          <w:sz w:val="20"/>
          <w:szCs w:val="20"/>
        </w:rPr>
        <w:t xml:space="preserve">ommon </w:t>
      </w:r>
      <w:r w:rsidR="00263279">
        <w:rPr>
          <w:rFonts w:ascii="Times New Roman" w:hAnsi="Times New Roman" w:cs="Times New Roman" w:hint="eastAsia"/>
          <w:sz w:val="20"/>
          <w:szCs w:val="20"/>
        </w:rPr>
        <w:t>S</w:t>
      </w:r>
      <w:r w:rsidRPr="00263279">
        <w:rPr>
          <w:rFonts w:ascii="Times New Roman" w:hAnsi="Times New Roman" w:cs="Times New Roman"/>
          <w:sz w:val="20"/>
          <w:szCs w:val="20"/>
        </w:rPr>
        <w:t>tocks</w:t>
      </w:r>
      <w:r w:rsidRPr="00263279">
        <w:rPr>
          <w:rFonts w:ascii="Times New Roman" w:hAnsi="Times New Roman" w:cs="Times New Roman" w:hint="eastAsia"/>
          <w:sz w:val="20"/>
          <w:szCs w:val="20"/>
        </w:rPr>
        <w:t>,</w:t>
      </w:r>
      <w:r w:rsidR="00263279">
        <w:rPr>
          <w:rFonts w:ascii="Times New Roman" w:hAnsi="Times New Roman" w:cs="Times New Roman"/>
          <w:sz w:val="20"/>
          <w:szCs w:val="20"/>
        </w:rPr>
        <w:t>”</w:t>
      </w:r>
      <w:r w:rsidRPr="00263279">
        <w:rPr>
          <w:rFonts w:ascii="Times New Roman" w:hAnsi="Times New Roman" w:cs="Times New Roman"/>
          <w:sz w:val="20"/>
          <w:szCs w:val="20"/>
        </w:rPr>
        <w:t xml:space="preserve"> Financial Analysts Journal</w:t>
      </w:r>
      <w:r w:rsidR="00263279">
        <w:rPr>
          <w:rFonts w:ascii="Times New Roman" w:hAnsi="Times New Roman" w:cs="Times New Roman" w:hint="eastAsia"/>
          <w:sz w:val="20"/>
          <w:szCs w:val="20"/>
        </w:rPr>
        <w:t>,</w:t>
      </w:r>
      <w:r w:rsidR="00381685" w:rsidRPr="00263279">
        <w:rPr>
          <w:rFonts w:ascii="Times New Roman" w:hAnsi="Times New Roman" w:cs="Times New Roman"/>
          <w:sz w:val="20"/>
          <w:szCs w:val="20"/>
        </w:rPr>
        <w:t xml:space="preserve"> 41, </w:t>
      </w:r>
      <w:r w:rsidR="00263279">
        <w:rPr>
          <w:rFonts w:ascii="Times New Roman" w:hAnsi="Times New Roman" w:cs="Times New Roman" w:hint="eastAsia"/>
          <w:sz w:val="20"/>
          <w:szCs w:val="20"/>
        </w:rPr>
        <w:t>(</w:t>
      </w:r>
      <w:r w:rsidR="00263279" w:rsidRPr="00263279">
        <w:rPr>
          <w:rFonts w:ascii="Times New Roman" w:hAnsi="Times New Roman" w:cs="Times New Roman"/>
          <w:sz w:val="20"/>
          <w:szCs w:val="20"/>
        </w:rPr>
        <w:t>1985</w:t>
      </w:r>
      <w:r w:rsidR="00263279">
        <w:rPr>
          <w:rFonts w:ascii="Times New Roman" w:hAnsi="Times New Roman" w:cs="Times New Roman" w:hint="eastAsia"/>
          <w:sz w:val="20"/>
          <w:szCs w:val="20"/>
        </w:rPr>
        <w:t xml:space="preserve">), </w:t>
      </w:r>
      <w:r w:rsidR="00381685" w:rsidRPr="00263279">
        <w:rPr>
          <w:rFonts w:ascii="Times New Roman" w:hAnsi="Times New Roman" w:cs="Times New Roman"/>
          <w:sz w:val="20"/>
          <w:szCs w:val="20"/>
        </w:rPr>
        <w:t>26-33.</w:t>
      </w:r>
    </w:p>
    <w:p w:rsidR="00381685" w:rsidRPr="00263279" w:rsidRDefault="00381685" w:rsidP="007D0623">
      <w:pPr>
        <w:pStyle w:val="a3"/>
        <w:autoSpaceDE w:val="0"/>
        <w:autoSpaceDN w:val="0"/>
        <w:adjustRightInd w:val="0"/>
        <w:spacing w:after="0" w:line="360" w:lineRule="auto"/>
        <w:ind w:left="0"/>
        <w:jc w:val="both"/>
        <w:rPr>
          <w:rFonts w:ascii="Times New Roman" w:hAnsi="Times New Roman" w:cs="Times New Roman"/>
          <w:sz w:val="20"/>
          <w:szCs w:val="20"/>
        </w:rPr>
      </w:pPr>
      <w:r w:rsidRPr="00263279">
        <w:rPr>
          <w:rFonts w:ascii="Times New Roman" w:hAnsi="Times New Roman" w:cs="Times New Roman"/>
          <w:sz w:val="20"/>
          <w:szCs w:val="20"/>
        </w:rPr>
        <w:t xml:space="preserve">Fama, E., </w:t>
      </w:r>
      <w:r w:rsidR="005E4514" w:rsidRPr="00263279">
        <w:rPr>
          <w:rFonts w:ascii="Times New Roman" w:hAnsi="Times New Roman" w:cs="Times New Roman" w:hint="eastAsia"/>
          <w:sz w:val="20"/>
          <w:szCs w:val="20"/>
        </w:rPr>
        <w:t xml:space="preserve">and K. </w:t>
      </w:r>
      <w:r w:rsidRPr="00263279">
        <w:rPr>
          <w:rFonts w:ascii="Times New Roman" w:hAnsi="Times New Roman" w:cs="Times New Roman"/>
          <w:sz w:val="20"/>
          <w:szCs w:val="20"/>
        </w:rPr>
        <w:t>French</w:t>
      </w:r>
      <w:r w:rsidR="005E4514" w:rsidRPr="00263279">
        <w:rPr>
          <w:rFonts w:ascii="Times New Roman" w:hAnsi="Times New Roman" w:cs="Times New Roman"/>
          <w:sz w:val="20"/>
          <w:szCs w:val="20"/>
        </w:rPr>
        <w:t xml:space="preserve">, </w:t>
      </w:r>
      <w:r w:rsidR="00263279">
        <w:rPr>
          <w:rFonts w:ascii="Times New Roman" w:hAnsi="Times New Roman" w:cs="Times New Roman"/>
          <w:sz w:val="20"/>
          <w:szCs w:val="20"/>
        </w:rPr>
        <w:t xml:space="preserve">“The </w:t>
      </w:r>
      <w:r w:rsidR="00263279">
        <w:rPr>
          <w:rFonts w:ascii="Times New Roman" w:hAnsi="Times New Roman" w:cs="Times New Roman" w:hint="eastAsia"/>
          <w:sz w:val="20"/>
          <w:szCs w:val="20"/>
        </w:rPr>
        <w:t>C</w:t>
      </w:r>
      <w:r w:rsidR="00263279">
        <w:rPr>
          <w:rFonts w:ascii="Times New Roman" w:hAnsi="Times New Roman" w:cs="Times New Roman"/>
          <w:sz w:val="20"/>
          <w:szCs w:val="20"/>
        </w:rPr>
        <w:t>ross-</w:t>
      </w:r>
      <w:r w:rsidR="00263279">
        <w:rPr>
          <w:rFonts w:ascii="Times New Roman" w:hAnsi="Times New Roman" w:cs="Times New Roman" w:hint="eastAsia"/>
          <w:sz w:val="20"/>
          <w:szCs w:val="20"/>
        </w:rPr>
        <w:t>S</w:t>
      </w:r>
      <w:r w:rsidRPr="00263279">
        <w:rPr>
          <w:rFonts w:ascii="Times New Roman" w:hAnsi="Times New Roman" w:cs="Times New Roman"/>
          <w:sz w:val="20"/>
          <w:szCs w:val="20"/>
        </w:rPr>
        <w:t>e</w:t>
      </w:r>
      <w:r w:rsidR="00263279">
        <w:rPr>
          <w:rFonts w:ascii="Times New Roman" w:hAnsi="Times New Roman" w:cs="Times New Roman"/>
          <w:sz w:val="20"/>
          <w:szCs w:val="20"/>
        </w:rPr>
        <w:t xml:space="preserve">ction of </w:t>
      </w:r>
      <w:r w:rsidR="00263279">
        <w:rPr>
          <w:rFonts w:ascii="Times New Roman" w:hAnsi="Times New Roman" w:cs="Times New Roman" w:hint="eastAsia"/>
          <w:sz w:val="20"/>
          <w:szCs w:val="20"/>
        </w:rPr>
        <w:t>E</w:t>
      </w:r>
      <w:r w:rsidR="00263279">
        <w:rPr>
          <w:rFonts w:ascii="Times New Roman" w:hAnsi="Times New Roman" w:cs="Times New Roman"/>
          <w:sz w:val="20"/>
          <w:szCs w:val="20"/>
        </w:rPr>
        <w:t xml:space="preserve">xpected </w:t>
      </w:r>
      <w:r w:rsidR="00263279">
        <w:rPr>
          <w:rFonts w:ascii="Times New Roman" w:hAnsi="Times New Roman" w:cs="Times New Roman" w:hint="eastAsia"/>
          <w:sz w:val="20"/>
          <w:szCs w:val="20"/>
        </w:rPr>
        <w:t>S</w:t>
      </w:r>
      <w:r w:rsidR="00263279">
        <w:rPr>
          <w:rFonts w:ascii="Times New Roman" w:hAnsi="Times New Roman" w:cs="Times New Roman"/>
          <w:sz w:val="20"/>
          <w:szCs w:val="20"/>
        </w:rPr>
        <w:t xml:space="preserve">tock </w:t>
      </w:r>
      <w:r w:rsidR="00263279">
        <w:rPr>
          <w:rFonts w:ascii="Times New Roman" w:hAnsi="Times New Roman" w:cs="Times New Roman" w:hint="eastAsia"/>
          <w:sz w:val="20"/>
          <w:szCs w:val="20"/>
        </w:rPr>
        <w:t>R</w:t>
      </w:r>
      <w:r w:rsidR="005E4514" w:rsidRPr="00263279">
        <w:rPr>
          <w:rFonts w:ascii="Times New Roman" w:hAnsi="Times New Roman" w:cs="Times New Roman"/>
          <w:sz w:val="20"/>
          <w:szCs w:val="20"/>
        </w:rPr>
        <w:t>eturns</w:t>
      </w:r>
      <w:r w:rsidR="005E4514" w:rsidRPr="00263279">
        <w:rPr>
          <w:rFonts w:ascii="Times New Roman" w:hAnsi="Times New Roman" w:cs="Times New Roman" w:hint="eastAsia"/>
          <w:sz w:val="20"/>
          <w:szCs w:val="20"/>
        </w:rPr>
        <w:t>,</w:t>
      </w:r>
      <w:r w:rsidR="00263279">
        <w:rPr>
          <w:rFonts w:ascii="Times New Roman" w:hAnsi="Times New Roman" w:cs="Times New Roman"/>
          <w:sz w:val="20"/>
          <w:szCs w:val="20"/>
        </w:rPr>
        <w:t>”</w:t>
      </w:r>
      <w:r w:rsidR="005E4514" w:rsidRPr="00263279">
        <w:rPr>
          <w:rFonts w:ascii="Times New Roman" w:hAnsi="Times New Roman" w:cs="Times New Roman"/>
          <w:sz w:val="20"/>
          <w:szCs w:val="20"/>
        </w:rPr>
        <w:t xml:space="preserve"> The Journal of Finance</w:t>
      </w:r>
      <w:r w:rsid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47,</w:t>
      </w:r>
      <w:r w:rsidR="00263279">
        <w:rPr>
          <w:rFonts w:ascii="Times New Roman" w:hAnsi="Times New Roman" w:cs="Times New Roman" w:hint="eastAsia"/>
          <w:sz w:val="20"/>
          <w:szCs w:val="20"/>
        </w:rPr>
        <w:t xml:space="preserve"> (</w:t>
      </w:r>
      <w:r w:rsidR="00263279" w:rsidRPr="00263279">
        <w:rPr>
          <w:rFonts w:ascii="Times New Roman" w:hAnsi="Times New Roman" w:cs="Times New Roman"/>
          <w:sz w:val="20"/>
          <w:szCs w:val="20"/>
        </w:rPr>
        <w:t>1992</w:t>
      </w:r>
      <w:r w:rsid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427-465.</w:t>
      </w:r>
    </w:p>
    <w:p w:rsidR="00C952F7" w:rsidRPr="00263279" w:rsidRDefault="00C952F7" w:rsidP="007D0623">
      <w:pPr>
        <w:pStyle w:val="a3"/>
        <w:autoSpaceDE w:val="0"/>
        <w:autoSpaceDN w:val="0"/>
        <w:adjustRightInd w:val="0"/>
        <w:spacing w:after="0" w:line="360" w:lineRule="auto"/>
        <w:ind w:left="0"/>
        <w:jc w:val="both"/>
        <w:rPr>
          <w:rFonts w:ascii="Times New Roman" w:hAnsi="Times New Roman" w:cs="Times New Roman"/>
          <w:sz w:val="20"/>
          <w:szCs w:val="20"/>
        </w:rPr>
      </w:pPr>
      <w:r w:rsidRPr="00263279">
        <w:rPr>
          <w:rFonts w:ascii="Times New Roman" w:hAnsi="Times New Roman" w:cs="Times New Roman"/>
          <w:sz w:val="20"/>
          <w:szCs w:val="20"/>
        </w:rPr>
        <w:t>Frank, K.</w:t>
      </w:r>
      <w:r w:rsidR="005E4514" w:rsidRPr="00263279">
        <w:rPr>
          <w:rFonts w:ascii="Times New Roman" w:hAnsi="Times New Roman" w:cs="Times New Roman" w:hint="eastAsia"/>
          <w:sz w:val="20"/>
          <w:szCs w:val="20"/>
        </w:rPr>
        <w:t xml:space="preserve">, </w:t>
      </w:r>
      <w:r w:rsidR="00263279">
        <w:rPr>
          <w:rFonts w:ascii="Times New Roman" w:hAnsi="Times New Roman" w:cs="Times New Roman"/>
          <w:sz w:val="20"/>
          <w:szCs w:val="20"/>
        </w:rPr>
        <w:t xml:space="preserve">“The </w:t>
      </w:r>
      <w:r w:rsidR="00263279">
        <w:rPr>
          <w:rFonts w:ascii="Times New Roman" w:hAnsi="Times New Roman" w:cs="Times New Roman" w:hint="eastAsia"/>
          <w:sz w:val="20"/>
          <w:szCs w:val="20"/>
        </w:rPr>
        <w:t>E</w:t>
      </w:r>
      <w:r w:rsidR="00263279">
        <w:rPr>
          <w:rFonts w:ascii="Times New Roman" w:hAnsi="Times New Roman" w:cs="Times New Roman"/>
          <w:sz w:val="20"/>
          <w:szCs w:val="20"/>
        </w:rPr>
        <w:t xml:space="preserve">ffect of </w:t>
      </w:r>
      <w:r w:rsidR="00263279">
        <w:rPr>
          <w:rFonts w:ascii="Times New Roman" w:hAnsi="Times New Roman" w:cs="Times New Roman" w:hint="eastAsia"/>
          <w:sz w:val="20"/>
          <w:szCs w:val="20"/>
        </w:rPr>
        <w:t>G</w:t>
      </w:r>
      <w:r w:rsidR="00263279">
        <w:rPr>
          <w:rFonts w:ascii="Times New Roman" w:hAnsi="Times New Roman" w:cs="Times New Roman"/>
          <w:sz w:val="20"/>
          <w:szCs w:val="20"/>
        </w:rPr>
        <w:t xml:space="preserve">rowth on the </w:t>
      </w:r>
      <w:r w:rsidR="00263279">
        <w:rPr>
          <w:rFonts w:ascii="Times New Roman" w:hAnsi="Times New Roman" w:cs="Times New Roman" w:hint="eastAsia"/>
          <w:sz w:val="20"/>
          <w:szCs w:val="20"/>
        </w:rPr>
        <w:t>V</w:t>
      </w:r>
      <w:r w:rsidR="00263279">
        <w:rPr>
          <w:rFonts w:ascii="Times New Roman" w:hAnsi="Times New Roman" w:cs="Times New Roman"/>
          <w:sz w:val="20"/>
          <w:szCs w:val="20"/>
        </w:rPr>
        <w:t xml:space="preserve">alue </w:t>
      </w:r>
      <w:r w:rsidR="00263279">
        <w:rPr>
          <w:rFonts w:ascii="Times New Roman" w:hAnsi="Times New Roman" w:cs="Times New Roman" w:hint="eastAsia"/>
          <w:sz w:val="20"/>
          <w:szCs w:val="20"/>
        </w:rPr>
        <w:t>R</w:t>
      </w:r>
      <w:r w:rsidR="00263279">
        <w:rPr>
          <w:rFonts w:ascii="Times New Roman" w:hAnsi="Times New Roman" w:cs="Times New Roman"/>
          <w:sz w:val="20"/>
          <w:szCs w:val="20"/>
        </w:rPr>
        <w:t xml:space="preserve">elevance of </w:t>
      </w:r>
      <w:r w:rsidR="00263279">
        <w:rPr>
          <w:rFonts w:ascii="Times New Roman" w:hAnsi="Times New Roman" w:cs="Times New Roman" w:hint="eastAsia"/>
          <w:sz w:val="20"/>
          <w:szCs w:val="20"/>
        </w:rPr>
        <w:t>A</w:t>
      </w:r>
      <w:r w:rsidR="00263279">
        <w:rPr>
          <w:rFonts w:ascii="Times New Roman" w:hAnsi="Times New Roman" w:cs="Times New Roman"/>
          <w:sz w:val="20"/>
          <w:szCs w:val="20"/>
        </w:rPr>
        <w:t xml:space="preserve">ccounting </w:t>
      </w:r>
      <w:r w:rsidR="00263279">
        <w:rPr>
          <w:rFonts w:ascii="Times New Roman" w:hAnsi="Times New Roman" w:cs="Times New Roman" w:hint="eastAsia"/>
          <w:sz w:val="20"/>
          <w:szCs w:val="20"/>
        </w:rPr>
        <w:t>D</w:t>
      </w:r>
      <w:r w:rsidRPr="00263279">
        <w:rPr>
          <w:rFonts w:ascii="Times New Roman" w:hAnsi="Times New Roman" w:cs="Times New Roman"/>
          <w:sz w:val="20"/>
          <w:szCs w:val="20"/>
        </w:rPr>
        <w:t>ata</w:t>
      </w:r>
      <w:r w:rsidR="005E4514" w:rsidRPr="00263279">
        <w:rPr>
          <w:rFonts w:ascii="Times New Roman" w:hAnsi="Times New Roman" w:cs="Times New Roman" w:hint="eastAsia"/>
          <w:sz w:val="20"/>
          <w:szCs w:val="20"/>
        </w:rPr>
        <w:t>,</w:t>
      </w:r>
      <w:r w:rsidR="00263279">
        <w:rPr>
          <w:rFonts w:ascii="Times New Roman" w:hAnsi="Times New Roman" w:cs="Times New Roman"/>
          <w:sz w:val="20"/>
          <w:szCs w:val="20"/>
        </w:rPr>
        <w:t>”</w:t>
      </w:r>
      <w:r w:rsidRPr="00263279">
        <w:rPr>
          <w:rFonts w:ascii="Times New Roman" w:hAnsi="Times New Roman" w:cs="Times New Roman"/>
          <w:sz w:val="20"/>
          <w:szCs w:val="20"/>
        </w:rPr>
        <w:t xml:space="preserve"> </w:t>
      </w:r>
      <w:r w:rsidR="00381685" w:rsidRPr="00263279">
        <w:rPr>
          <w:rFonts w:ascii="Times New Roman" w:hAnsi="Times New Roman" w:cs="Times New Roman"/>
          <w:sz w:val="20"/>
          <w:szCs w:val="20"/>
        </w:rPr>
        <w:t>J</w:t>
      </w:r>
      <w:r w:rsidR="005E4514" w:rsidRPr="00263279">
        <w:rPr>
          <w:rFonts w:ascii="Times New Roman" w:hAnsi="Times New Roman" w:cs="Times New Roman" w:hint="eastAsia"/>
          <w:sz w:val="20"/>
          <w:szCs w:val="20"/>
        </w:rPr>
        <w:t>ournal</w:t>
      </w:r>
      <w:r w:rsidR="00381685" w:rsidRPr="00263279">
        <w:rPr>
          <w:rFonts w:ascii="Times New Roman" w:hAnsi="Times New Roman" w:cs="Times New Roman" w:hint="eastAsia"/>
          <w:sz w:val="20"/>
          <w:szCs w:val="20"/>
        </w:rPr>
        <w:t xml:space="preserve"> of</w:t>
      </w:r>
      <w:r w:rsidR="00381685" w:rsidRPr="00263279">
        <w:rPr>
          <w:rFonts w:ascii="Times New Roman" w:hAnsi="Times New Roman" w:cs="Times New Roman"/>
          <w:sz w:val="20"/>
          <w:szCs w:val="20"/>
        </w:rPr>
        <w:t xml:space="preserve"> Bus</w:t>
      </w:r>
      <w:r w:rsidR="00381685" w:rsidRPr="00263279">
        <w:rPr>
          <w:rFonts w:ascii="Times New Roman" w:hAnsi="Times New Roman" w:cs="Times New Roman" w:hint="eastAsia"/>
          <w:sz w:val="20"/>
          <w:szCs w:val="20"/>
        </w:rPr>
        <w:t>iness</w:t>
      </w:r>
      <w:r w:rsidR="00381685" w:rsidRPr="00263279">
        <w:rPr>
          <w:rFonts w:ascii="Times New Roman" w:hAnsi="Times New Roman" w:cs="Times New Roman"/>
          <w:sz w:val="20"/>
          <w:szCs w:val="20"/>
        </w:rPr>
        <w:t xml:space="preserve"> Res</w:t>
      </w:r>
      <w:r w:rsidR="005E4514" w:rsidRPr="00263279">
        <w:rPr>
          <w:rFonts w:ascii="Times New Roman" w:hAnsi="Times New Roman" w:cs="Times New Roman" w:hint="eastAsia"/>
          <w:sz w:val="20"/>
          <w:szCs w:val="20"/>
        </w:rPr>
        <w:t>earch,</w:t>
      </w:r>
      <w:r w:rsidRPr="00263279">
        <w:rPr>
          <w:rFonts w:ascii="Times New Roman" w:hAnsi="Times New Roman" w:cs="Times New Roman"/>
          <w:i/>
          <w:sz w:val="20"/>
          <w:szCs w:val="20"/>
        </w:rPr>
        <w:t xml:space="preserve"> </w:t>
      </w:r>
      <w:r w:rsidRPr="00263279">
        <w:rPr>
          <w:rFonts w:ascii="Times New Roman" w:hAnsi="Times New Roman" w:cs="Times New Roman"/>
          <w:sz w:val="20"/>
          <w:szCs w:val="20"/>
        </w:rPr>
        <w:t>55,</w:t>
      </w:r>
      <w:r w:rsidR="00263279">
        <w:rPr>
          <w:rFonts w:ascii="Times New Roman" w:hAnsi="Times New Roman" w:cs="Times New Roman" w:hint="eastAsia"/>
          <w:sz w:val="20"/>
          <w:szCs w:val="20"/>
        </w:rPr>
        <w:t xml:space="preserve"> (</w:t>
      </w:r>
      <w:r w:rsidR="00263279" w:rsidRPr="00263279">
        <w:rPr>
          <w:rFonts w:ascii="Times New Roman" w:hAnsi="Times New Roman" w:cs="Times New Roman" w:hint="eastAsia"/>
          <w:sz w:val="20"/>
          <w:szCs w:val="20"/>
        </w:rPr>
        <w:t>2002</w:t>
      </w:r>
      <w:r w:rsidR="00263279">
        <w:rPr>
          <w:rFonts w:ascii="Times New Roman" w:hAnsi="Times New Roman" w:cs="Times New Roman" w:hint="eastAsia"/>
          <w:sz w:val="20"/>
          <w:szCs w:val="20"/>
        </w:rPr>
        <w:t>),</w:t>
      </w:r>
      <w:r w:rsidR="00381685" w:rsidRPr="00263279">
        <w:rPr>
          <w:rFonts w:ascii="Times New Roman" w:hAnsi="Times New Roman" w:cs="Times New Roman"/>
          <w:sz w:val="20"/>
          <w:szCs w:val="20"/>
        </w:rPr>
        <w:t xml:space="preserve"> 69-78</w:t>
      </w:r>
      <w:r w:rsidR="00381685" w:rsidRPr="00263279">
        <w:rPr>
          <w:rFonts w:ascii="Times New Roman" w:hAnsi="Times New Roman" w:cs="Times New Roman" w:hint="eastAsia"/>
          <w:sz w:val="20"/>
          <w:szCs w:val="20"/>
        </w:rPr>
        <w:t>.</w:t>
      </w:r>
    </w:p>
    <w:p w:rsidR="007D0623" w:rsidRPr="00263279" w:rsidRDefault="007D0623" w:rsidP="007D0623">
      <w:pPr>
        <w:spacing w:after="0" w:line="360" w:lineRule="auto"/>
        <w:jc w:val="both"/>
        <w:rPr>
          <w:rFonts w:ascii="Times New Roman" w:hAnsi="Times New Roman" w:cs="Times New Roman"/>
          <w:sz w:val="20"/>
          <w:szCs w:val="20"/>
        </w:rPr>
      </w:pPr>
      <w:r w:rsidRPr="00263279">
        <w:rPr>
          <w:rFonts w:ascii="Times New Roman" w:hAnsi="Times New Roman" w:cs="Times New Roman"/>
          <w:sz w:val="20"/>
          <w:szCs w:val="20"/>
        </w:rPr>
        <w:t xml:space="preserve">Kim, M., </w:t>
      </w:r>
      <w:r w:rsidR="005E4514" w:rsidRPr="00263279">
        <w:rPr>
          <w:rFonts w:ascii="Times New Roman" w:hAnsi="Times New Roman" w:cs="Times New Roman" w:hint="eastAsia"/>
          <w:sz w:val="20"/>
          <w:szCs w:val="20"/>
        </w:rPr>
        <w:t xml:space="preserve">and J. </w:t>
      </w:r>
      <w:r w:rsidR="005E4514" w:rsidRPr="00263279">
        <w:rPr>
          <w:rFonts w:ascii="Times New Roman" w:hAnsi="Times New Roman" w:cs="Times New Roman"/>
          <w:sz w:val="20"/>
          <w:szCs w:val="20"/>
        </w:rPr>
        <w:t xml:space="preserve">Ritter, </w:t>
      </w:r>
      <w:r w:rsidR="00263279">
        <w:rPr>
          <w:rFonts w:ascii="Times New Roman" w:hAnsi="Times New Roman" w:cs="Times New Roman"/>
          <w:sz w:val="20"/>
          <w:szCs w:val="20"/>
        </w:rPr>
        <w:t>“</w:t>
      </w:r>
      <w:r w:rsidR="005E4514" w:rsidRPr="00263279">
        <w:rPr>
          <w:rFonts w:ascii="Times New Roman" w:hAnsi="Times New Roman" w:cs="Times New Roman"/>
          <w:sz w:val="20"/>
          <w:szCs w:val="20"/>
        </w:rPr>
        <w:t>Valuing IPOs</w:t>
      </w:r>
      <w:r w:rsidR="005E4514" w:rsidRPr="00263279">
        <w:rPr>
          <w:rFonts w:ascii="Times New Roman" w:hAnsi="Times New Roman" w:cs="Times New Roman" w:hint="eastAsia"/>
          <w:sz w:val="20"/>
          <w:szCs w:val="20"/>
        </w:rPr>
        <w:t>,</w:t>
      </w:r>
      <w:r w:rsidR="00263279">
        <w:rPr>
          <w:rFonts w:ascii="Times New Roman" w:hAnsi="Times New Roman" w:cs="Times New Roman"/>
          <w:sz w:val="20"/>
          <w:szCs w:val="20"/>
        </w:rPr>
        <w:t>”</w:t>
      </w:r>
      <w:r w:rsidR="005E4514" w:rsidRPr="00263279">
        <w:rPr>
          <w:rFonts w:ascii="Times New Roman" w:hAnsi="Times New Roman" w:cs="Times New Roman"/>
          <w:sz w:val="20"/>
          <w:szCs w:val="20"/>
        </w:rPr>
        <w:t xml:space="preserve"> Journal of Financial Economics</w:t>
      </w:r>
      <w:r w:rsid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53,</w:t>
      </w:r>
      <w:r w:rsidR="00263279">
        <w:rPr>
          <w:rFonts w:ascii="Times New Roman" w:hAnsi="Times New Roman" w:cs="Times New Roman" w:hint="eastAsia"/>
          <w:sz w:val="20"/>
          <w:szCs w:val="20"/>
        </w:rPr>
        <w:t xml:space="preserve"> (</w:t>
      </w:r>
      <w:r w:rsidR="00263279" w:rsidRPr="00263279">
        <w:rPr>
          <w:rFonts w:ascii="Times New Roman" w:hAnsi="Times New Roman" w:cs="Times New Roman"/>
          <w:sz w:val="20"/>
          <w:szCs w:val="20"/>
        </w:rPr>
        <w:t>1999</w:t>
      </w:r>
      <w:r w:rsid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409-437.</w:t>
      </w:r>
    </w:p>
    <w:p w:rsidR="007D0623" w:rsidRPr="00263279" w:rsidRDefault="005E4514" w:rsidP="007D0623">
      <w:pPr>
        <w:spacing w:after="0" w:line="360" w:lineRule="auto"/>
        <w:jc w:val="both"/>
        <w:rPr>
          <w:rFonts w:ascii="Times New Roman" w:hAnsi="Times New Roman" w:cs="Times New Roman"/>
          <w:sz w:val="20"/>
          <w:szCs w:val="20"/>
        </w:rPr>
      </w:pPr>
      <w:r w:rsidRPr="00263279">
        <w:rPr>
          <w:rFonts w:ascii="Times New Roman" w:hAnsi="Times New Roman" w:cs="Times New Roman"/>
          <w:sz w:val="20"/>
          <w:szCs w:val="20"/>
        </w:rPr>
        <w:t xml:space="preserve">La Porta, R., </w:t>
      </w:r>
      <w:r w:rsidR="00263279">
        <w:rPr>
          <w:rFonts w:ascii="Times New Roman" w:hAnsi="Times New Roman" w:cs="Times New Roman"/>
          <w:sz w:val="20"/>
          <w:szCs w:val="20"/>
        </w:rPr>
        <w:t>“</w:t>
      </w:r>
      <w:r w:rsidR="007D0623" w:rsidRPr="00263279">
        <w:rPr>
          <w:rFonts w:ascii="Times New Roman" w:hAnsi="Times New Roman" w:cs="Times New Roman"/>
          <w:sz w:val="20"/>
          <w:szCs w:val="20"/>
        </w:rPr>
        <w:t>Expectations and the</w:t>
      </w:r>
      <w:r w:rsidR="00263279">
        <w:rPr>
          <w:rFonts w:ascii="Times New Roman" w:hAnsi="Times New Roman" w:cs="Times New Roman"/>
          <w:sz w:val="20"/>
          <w:szCs w:val="20"/>
        </w:rPr>
        <w:t xml:space="preserve"> </w:t>
      </w:r>
      <w:r w:rsidR="00263279">
        <w:rPr>
          <w:rFonts w:ascii="Times New Roman" w:hAnsi="Times New Roman" w:cs="Times New Roman" w:hint="eastAsia"/>
          <w:sz w:val="20"/>
          <w:szCs w:val="20"/>
        </w:rPr>
        <w:t>C</w:t>
      </w:r>
      <w:r w:rsidR="00263279">
        <w:rPr>
          <w:rFonts w:ascii="Times New Roman" w:hAnsi="Times New Roman" w:cs="Times New Roman"/>
          <w:sz w:val="20"/>
          <w:szCs w:val="20"/>
        </w:rPr>
        <w:t>ross-</w:t>
      </w:r>
      <w:r w:rsidR="00263279">
        <w:rPr>
          <w:rFonts w:ascii="Times New Roman" w:hAnsi="Times New Roman" w:cs="Times New Roman" w:hint="eastAsia"/>
          <w:sz w:val="20"/>
          <w:szCs w:val="20"/>
        </w:rPr>
        <w:t>S</w:t>
      </w:r>
      <w:r w:rsidR="00263279">
        <w:rPr>
          <w:rFonts w:ascii="Times New Roman" w:hAnsi="Times New Roman" w:cs="Times New Roman"/>
          <w:sz w:val="20"/>
          <w:szCs w:val="20"/>
        </w:rPr>
        <w:t xml:space="preserve">ection of </w:t>
      </w:r>
      <w:r w:rsidR="00263279">
        <w:rPr>
          <w:rFonts w:ascii="Times New Roman" w:hAnsi="Times New Roman" w:cs="Times New Roman" w:hint="eastAsia"/>
          <w:sz w:val="20"/>
          <w:szCs w:val="20"/>
        </w:rPr>
        <w:t>S</w:t>
      </w:r>
      <w:r w:rsidR="00263279">
        <w:rPr>
          <w:rFonts w:ascii="Times New Roman" w:hAnsi="Times New Roman" w:cs="Times New Roman"/>
          <w:sz w:val="20"/>
          <w:szCs w:val="20"/>
        </w:rPr>
        <w:t xml:space="preserve">tock </w:t>
      </w:r>
      <w:r w:rsidR="00263279">
        <w:rPr>
          <w:rFonts w:ascii="Times New Roman" w:hAnsi="Times New Roman" w:cs="Times New Roman" w:hint="eastAsia"/>
          <w:sz w:val="20"/>
          <w:szCs w:val="20"/>
        </w:rPr>
        <w:t>R</w:t>
      </w:r>
      <w:r w:rsidRPr="00263279">
        <w:rPr>
          <w:rFonts w:ascii="Times New Roman" w:hAnsi="Times New Roman" w:cs="Times New Roman"/>
          <w:sz w:val="20"/>
          <w:szCs w:val="20"/>
        </w:rPr>
        <w:t>eturns</w:t>
      </w:r>
      <w:r w:rsidRPr="00263279">
        <w:rPr>
          <w:rFonts w:ascii="Times New Roman" w:hAnsi="Times New Roman" w:cs="Times New Roman" w:hint="eastAsia"/>
          <w:sz w:val="20"/>
          <w:szCs w:val="20"/>
        </w:rPr>
        <w:t>,</w:t>
      </w:r>
      <w:r w:rsidR="00263279">
        <w:rPr>
          <w:rFonts w:ascii="Times New Roman" w:hAnsi="Times New Roman" w:cs="Times New Roman"/>
          <w:sz w:val="20"/>
          <w:szCs w:val="20"/>
        </w:rPr>
        <w:t>”</w:t>
      </w:r>
      <w:r w:rsidRPr="00263279">
        <w:rPr>
          <w:rFonts w:ascii="Times New Roman" w:hAnsi="Times New Roman" w:cs="Times New Roman"/>
          <w:sz w:val="20"/>
          <w:szCs w:val="20"/>
        </w:rPr>
        <w:t xml:space="preserve"> The Journal of Finance</w:t>
      </w:r>
      <w:r w:rsidR="00263279">
        <w:rPr>
          <w:rFonts w:ascii="Times New Roman" w:hAnsi="Times New Roman" w:cs="Times New Roman" w:hint="eastAsia"/>
          <w:sz w:val="20"/>
          <w:szCs w:val="20"/>
        </w:rPr>
        <w:t>,</w:t>
      </w:r>
      <w:r w:rsidR="007D0623" w:rsidRPr="00263279">
        <w:rPr>
          <w:rFonts w:ascii="Times New Roman" w:hAnsi="Times New Roman" w:cs="Times New Roman"/>
          <w:sz w:val="20"/>
          <w:szCs w:val="20"/>
        </w:rPr>
        <w:t xml:space="preserve"> 51, </w:t>
      </w:r>
      <w:r w:rsidR="00263279">
        <w:rPr>
          <w:rFonts w:ascii="Times New Roman" w:hAnsi="Times New Roman" w:cs="Times New Roman" w:hint="eastAsia"/>
          <w:sz w:val="20"/>
          <w:szCs w:val="20"/>
        </w:rPr>
        <w:t>(</w:t>
      </w:r>
      <w:r w:rsidR="00263279" w:rsidRPr="00263279">
        <w:rPr>
          <w:rFonts w:ascii="Times New Roman" w:hAnsi="Times New Roman" w:cs="Times New Roman"/>
          <w:sz w:val="20"/>
          <w:szCs w:val="20"/>
        </w:rPr>
        <w:t>1996</w:t>
      </w:r>
      <w:r w:rsidR="00263279">
        <w:rPr>
          <w:rFonts w:ascii="Times New Roman" w:hAnsi="Times New Roman" w:cs="Times New Roman" w:hint="eastAsia"/>
          <w:sz w:val="20"/>
          <w:szCs w:val="20"/>
        </w:rPr>
        <w:t xml:space="preserve">), </w:t>
      </w:r>
      <w:r w:rsidR="007D0623" w:rsidRPr="00263279">
        <w:rPr>
          <w:rFonts w:ascii="Times New Roman" w:hAnsi="Times New Roman" w:cs="Times New Roman"/>
          <w:sz w:val="20"/>
          <w:szCs w:val="20"/>
        </w:rPr>
        <w:t>1715-1742.</w:t>
      </w:r>
    </w:p>
    <w:p w:rsidR="007D0623" w:rsidRPr="00263279" w:rsidRDefault="007D0623" w:rsidP="007D0623">
      <w:pPr>
        <w:spacing w:after="0" w:line="360" w:lineRule="auto"/>
        <w:jc w:val="both"/>
        <w:rPr>
          <w:rFonts w:ascii="Times New Roman" w:hAnsi="Times New Roman" w:cs="Times New Roman"/>
          <w:sz w:val="20"/>
          <w:szCs w:val="20"/>
        </w:rPr>
      </w:pPr>
      <w:r w:rsidRPr="00263279">
        <w:rPr>
          <w:rFonts w:ascii="Times New Roman" w:hAnsi="Times New Roman" w:cs="Times New Roman"/>
          <w:sz w:val="20"/>
          <w:szCs w:val="20"/>
        </w:rPr>
        <w:t xml:space="preserve">Lee, C., </w:t>
      </w:r>
      <w:r w:rsidR="005E4514" w:rsidRPr="00263279">
        <w:rPr>
          <w:rFonts w:ascii="Times New Roman" w:hAnsi="Times New Roman" w:cs="Times New Roman" w:hint="eastAsia"/>
          <w:sz w:val="20"/>
          <w:szCs w:val="20"/>
        </w:rPr>
        <w:t xml:space="preserve">J. </w:t>
      </w:r>
      <w:r w:rsidR="005E4514" w:rsidRPr="00263279">
        <w:rPr>
          <w:rFonts w:ascii="Times New Roman" w:hAnsi="Times New Roman" w:cs="Times New Roman"/>
          <w:sz w:val="20"/>
          <w:szCs w:val="20"/>
        </w:rPr>
        <w:t>Myers</w:t>
      </w:r>
      <w:r w:rsidRPr="00263279">
        <w:rPr>
          <w:rFonts w:ascii="Times New Roman" w:hAnsi="Times New Roman" w:cs="Times New Roman"/>
          <w:sz w:val="20"/>
          <w:szCs w:val="20"/>
        </w:rPr>
        <w:t xml:space="preserve">, </w:t>
      </w:r>
      <w:r w:rsidR="005E4514" w:rsidRPr="00263279">
        <w:rPr>
          <w:rFonts w:ascii="Times New Roman" w:hAnsi="Times New Roman" w:cs="Times New Roman" w:hint="eastAsia"/>
          <w:sz w:val="20"/>
          <w:szCs w:val="20"/>
        </w:rPr>
        <w:t xml:space="preserve">and B. </w:t>
      </w:r>
      <w:r w:rsidRPr="00263279">
        <w:rPr>
          <w:rFonts w:ascii="Times New Roman" w:hAnsi="Times New Roman" w:cs="Times New Roman"/>
          <w:sz w:val="20"/>
          <w:szCs w:val="20"/>
        </w:rPr>
        <w:t>Swamina</w:t>
      </w:r>
      <w:r w:rsidR="005E4514" w:rsidRPr="00263279">
        <w:rPr>
          <w:rFonts w:ascii="Times New Roman" w:hAnsi="Times New Roman" w:cs="Times New Roman"/>
          <w:sz w:val="20"/>
          <w:szCs w:val="20"/>
        </w:rPr>
        <w:t xml:space="preserve">than, </w:t>
      </w:r>
      <w:r w:rsidR="00263279">
        <w:rPr>
          <w:rFonts w:ascii="Times New Roman" w:hAnsi="Times New Roman" w:cs="Times New Roman"/>
          <w:sz w:val="20"/>
          <w:szCs w:val="20"/>
        </w:rPr>
        <w:t xml:space="preserve">“What is the </w:t>
      </w:r>
      <w:r w:rsidR="00263279">
        <w:rPr>
          <w:rFonts w:ascii="Times New Roman" w:hAnsi="Times New Roman" w:cs="Times New Roman" w:hint="eastAsia"/>
          <w:sz w:val="20"/>
          <w:szCs w:val="20"/>
        </w:rPr>
        <w:t>I</w:t>
      </w:r>
      <w:r w:rsidR="00263279">
        <w:rPr>
          <w:rFonts w:ascii="Times New Roman" w:hAnsi="Times New Roman" w:cs="Times New Roman"/>
          <w:sz w:val="20"/>
          <w:szCs w:val="20"/>
        </w:rPr>
        <w:t xml:space="preserve">ntrinsic </w:t>
      </w:r>
      <w:r w:rsidR="00263279">
        <w:rPr>
          <w:rFonts w:ascii="Times New Roman" w:hAnsi="Times New Roman" w:cs="Times New Roman" w:hint="eastAsia"/>
          <w:sz w:val="20"/>
          <w:szCs w:val="20"/>
        </w:rPr>
        <w:t>V</w:t>
      </w:r>
      <w:r w:rsidRPr="00263279">
        <w:rPr>
          <w:rFonts w:ascii="Times New Roman" w:hAnsi="Times New Roman" w:cs="Times New Roman"/>
          <w:sz w:val="20"/>
          <w:szCs w:val="20"/>
        </w:rPr>
        <w:t xml:space="preserve">alue of </w:t>
      </w:r>
      <w:r w:rsidR="005E4514" w:rsidRPr="00263279">
        <w:rPr>
          <w:rFonts w:ascii="Times New Roman" w:hAnsi="Times New Roman" w:cs="Times New Roman"/>
          <w:sz w:val="20"/>
          <w:szCs w:val="20"/>
        </w:rPr>
        <w:t>the Dow?</w:t>
      </w:r>
      <w:r w:rsidR="00263279">
        <w:rPr>
          <w:rFonts w:ascii="Times New Roman" w:hAnsi="Times New Roman" w:cs="Times New Roman"/>
          <w:sz w:val="20"/>
          <w:szCs w:val="20"/>
        </w:rPr>
        <w:t>”</w:t>
      </w:r>
      <w:r w:rsidR="005E4514" w:rsidRPr="00263279">
        <w:rPr>
          <w:rFonts w:ascii="Times New Roman" w:hAnsi="Times New Roman" w:cs="Times New Roman"/>
          <w:sz w:val="20"/>
          <w:szCs w:val="20"/>
        </w:rPr>
        <w:t xml:space="preserve"> The Journal of Finance</w:t>
      </w:r>
      <w:r w:rsidR="00263279">
        <w:rPr>
          <w:rFonts w:ascii="Times New Roman" w:hAnsi="Times New Roman" w:cs="Times New Roman" w:hint="eastAsia"/>
          <w:sz w:val="20"/>
          <w:szCs w:val="20"/>
        </w:rPr>
        <w:t>,</w:t>
      </w:r>
      <w:r w:rsidR="005E4514" w:rsidRPr="00263279">
        <w:rPr>
          <w:rFonts w:ascii="Times New Roman" w:hAnsi="Times New Roman" w:cs="Times New Roman" w:hint="eastAsia"/>
          <w:sz w:val="20"/>
          <w:szCs w:val="20"/>
        </w:rPr>
        <w:t xml:space="preserve"> </w:t>
      </w:r>
      <w:r w:rsidRPr="00263279">
        <w:rPr>
          <w:rFonts w:ascii="Times New Roman" w:hAnsi="Times New Roman" w:cs="Times New Roman"/>
          <w:sz w:val="20"/>
          <w:szCs w:val="20"/>
        </w:rPr>
        <w:t xml:space="preserve">54, </w:t>
      </w:r>
      <w:r w:rsidR="00263279">
        <w:rPr>
          <w:rFonts w:ascii="Times New Roman" w:hAnsi="Times New Roman" w:cs="Times New Roman" w:hint="eastAsia"/>
          <w:sz w:val="20"/>
          <w:szCs w:val="20"/>
        </w:rPr>
        <w:t>(</w:t>
      </w:r>
      <w:r w:rsidR="00263279" w:rsidRPr="00263279">
        <w:rPr>
          <w:rFonts w:ascii="Times New Roman" w:hAnsi="Times New Roman" w:cs="Times New Roman"/>
          <w:sz w:val="20"/>
          <w:szCs w:val="20"/>
        </w:rPr>
        <w:t>1999</w:t>
      </w:r>
      <w:r w:rsidR="00263279">
        <w:rPr>
          <w:rFonts w:ascii="Times New Roman" w:hAnsi="Times New Roman" w:cs="Times New Roman" w:hint="eastAsia"/>
          <w:sz w:val="20"/>
          <w:szCs w:val="20"/>
        </w:rPr>
        <w:t xml:space="preserve">), </w:t>
      </w:r>
      <w:r w:rsidRPr="00263279">
        <w:rPr>
          <w:rFonts w:ascii="Times New Roman" w:hAnsi="Times New Roman" w:cs="Times New Roman"/>
          <w:sz w:val="20"/>
          <w:szCs w:val="20"/>
        </w:rPr>
        <w:t>1693-1741.</w:t>
      </w:r>
    </w:p>
    <w:p w:rsidR="007D0623" w:rsidRPr="00263279" w:rsidRDefault="007D0623" w:rsidP="007D0623">
      <w:pPr>
        <w:spacing w:after="0" w:line="360" w:lineRule="auto"/>
        <w:jc w:val="both"/>
        <w:rPr>
          <w:rFonts w:ascii="Times New Roman" w:hAnsi="Times New Roman" w:cs="Times New Roman"/>
          <w:sz w:val="20"/>
          <w:szCs w:val="20"/>
        </w:rPr>
      </w:pPr>
      <w:r w:rsidRPr="00263279">
        <w:rPr>
          <w:rFonts w:ascii="Times New Roman" w:hAnsi="Times New Roman" w:cs="Times New Roman"/>
          <w:sz w:val="20"/>
          <w:szCs w:val="20"/>
        </w:rPr>
        <w:t xml:space="preserve">Lev, B., </w:t>
      </w:r>
      <w:r w:rsidR="005E4514" w:rsidRPr="00263279">
        <w:rPr>
          <w:rFonts w:ascii="Times New Roman" w:hAnsi="Times New Roman" w:cs="Times New Roman" w:hint="eastAsia"/>
          <w:sz w:val="20"/>
          <w:szCs w:val="20"/>
        </w:rPr>
        <w:t xml:space="preserve">and J. A. </w:t>
      </w:r>
      <w:r w:rsidR="005E4514" w:rsidRPr="00263279">
        <w:rPr>
          <w:rFonts w:ascii="Times New Roman" w:hAnsi="Times New Roman" w:cs="Times New Roman"/>
          <w:sz w:val="20"/>
          <w:szCs w:val="20"/>
        </w:rPr>
        <w:t xml:space="preserve">Ohlson, </w:t>
      </w:r>
      <w:r w:rsidR="00263279">
        <w:rPr>
          <w:rFonts w:ascii="Times New Roman" w:hAnsi="Times New Roman" w:cs="Times New Roman"/>
          <w:sz w:val="20"/>
          <w:szCs w:val="20"/>
        </w:rPr>
        <w:t>“Market-</w:t>
      </w:r>
      <w:r w:rsidR="00263279">
        <w:rPr>
          <w:rFonts w:ascii="Times New Roman" w:hAnsi="Times New Roman" w:cs="Times New Roman" w:hint="eastAsia"/>
          <w:sz w:val="20"/>
          <w:szCs w:val="20"/>
        </w:rPr>
        <w:t>B</w:t>
      </w:r>
      <w:r w:rsidR="00263279">
        <w:rPr>
          <w:rFonts w:ascii="Times New Roman" w:hAnsi="Times New Roman" w:cs="Times New Roman"/>
          <w:sz w:val="20"/>
          <w:szCs w:val="20"/>
        </w:rPr>
        <w:t xml:space="preserve">ased </w:t>
      </w:r>
      <w:r w:rsidR="00263279">
        <w:rPr>
          <w:rFonts w:ascii="Times New Roman" w:hAnsi="Times New Roman" w:cs="Times New Roman" w:hint="eastAsia"/>
          <w:sz w:val="20"/>
          <w:szCs w:val="20"/>
        </w:rPr>
        <w:t>E</w:t>
      </w:r>
      <w:r w:rsidR="00263279">
        <w:rPr>
          <w:rFonts w:ascii="Times New Roman" w:hAnsi="Times New Roman" w:cs="Times New Roman"/>
          <w:sz w:val="20"/>
          <w:szCs w:val="20"/>
        </w:rPr>
        <w:t xml:space="preserve">mpirical </w:t>
      </w:r>
      <w:r w:rsidR="00263279">
        <w:rPr>
          <w:rFonts w:ascii="Times New Roman" w:hAnsi="Times New Roman" w:cs="Times New Roman" w:hint="eastAsia"/>
          <w:sz w:val="20"/>
          <w:szCs w:val="20"/>
        </w:rPr>
        <w:t>R</w:t>
      </w:r>
      <w:r w:rsidR="00263279">
        <w:rPr>
          <w:rFonts w:ascii="Times New Roman" w:hAnsi="Times New Roman" w:cs="Times New Roman"/>
          <w:sz w:val="20"/>
          <w:szCs w:val="20"/>
        </w:rPr>
        <w:t xml:space="preserve">esearch in </w:t>
      </w:r>
      <w:r w:rsidR="00263279">
        <w:rPr>
          <w:rFonts w:ascii="Times New Roman" w:hAnsi="Times New Roman" w:cs="Times New Roman" w:hint="eastAsia"/>
          <w:sz w:val="20"/>
          <w:szCs w:val="20"/>
        </w:rPr>
        <w:t>A</w:t>
      </w:r>
      <w:r w:rsidR="00263279">
        <w:rPr>
          <w:rFonts w:ascii="Times New Roman" w:hAnsi="Times New Roman" w:cs="Times New Roman"/>
          <w:sz w:val="20"/>
          <w:szCs w:val="20"/>
        </w:rPr>
        <w:t xml:space="preserve">ccounting: A </w:t>
      </w:r>
      <w:r w:rsidR="00263279">
        <w:rPr>
          <w:rFonts w:ascii="Times New Roman" w:hAnsi="Times New Roman" w:cs="Times New Roman" w:hint="eastAsia"/>
          <w:sz w:val="20"/>
          <w:szCs w:val="20"/>
        </w:rPr>
        <w:t>R</w:t>
      </w:r>
      <w:r w:rsidRPr="00263279">
        <w:rPr>
          <w:rFonts w:ascii="Times New Roman" w:hAnsi="Times New Roman" w:cs="Times New Roman"/>
          <w:sz w:val="20"/>
          <w:szCs w:val="20"/>
        </w:rPr>
        <w:t>eview</w:t>
      </w:r>
      <w:r w:rsidR="00263279">
        <w:rPr>
          <w:rFonts w:ascii="Times New Roman" w:hAnsi="Times New Roman" w:cs="Times New Roman"/>
          <w:sz w:val="20"/>
          <w:szCs w:val="20"/>
        </w:rPr>
        <w:t xml:space="preserve">, </w:t>
      </w:r>
      <w:r w:rsidR="00263279">
        <w:rPr>
          <w:rFonts w:ascii="Times New Roman" w:hAnsi="Times New Roman" w:cs="Times New Roman" w:hint="eastAsia"/>
          <w:sz w:val="20"/>
          <w:szCs w:val="20"/>
        </w:rPr>
        <w:t>I</w:t>
      </w:r>
      <w:r w:rsidR="00263279">
        <w:rPr>
          <w:rFonts w:ascii="Times New Roman" w:hAnsi="Times New Roman" w:cs="Times New Roman"/>
          <w:sz w:val="20"/>
          <w:szCs w:val="20"/>
        </w:rPr>
        <w:t xml:space="preserve">nterpretation, and </w:t>
      </w:r>
      <w:r w:rsidR="00263279">
        <w:rPr>
          <w:rFonts w:ascii="Times New Roman" w:hAnsi="Times New Roman" w:cs="Times New Roman" w:hint="eastAsia"/>
          <w:sz w:val="20"/>
          <w:szCs w:val="20"/>
        </w:rPr>
        <w:t>E</w:t>
      </w:r>
      <w:r w:rsidR="005E4514" w:rsidRPr="00263279">
        <w:rPr>
          <w:rFonts w:ascii="Times New Roman" w:hAnsi="Times New Roman" w:cs="Times New Roman"/>
          <w:sz w:val="20"/>
          <w:szCs w:val="20"/>
        </w:rPr>
        <w:t>xtension</w:t>
      </w:r>
      <w:r w:rsidR="005E4514" w:rsidRPr="00263279">
        <w:rPr>
          <w:rFonts w:ascii="Times New Roman" w:hAnsi="Times New Roman" w:cs="Times New Roman" w:hint="eastAsia"/>
          <w:sz w:val="20"/>
          <w:szCs w:val="20"/>
        </w:rPr>
        <w:t>,</w:t>
      </w:r>
      <w:r w:rsidR="00263279">
        <w:rPr>
          <w:rFonts w:ascii="Times New Roman" w:hAnsi="Times New Roman" w:cs="Times New Roman"/>
          <w:sz w:val="20"/>
          <w:szCs w:val="20"/>
        </w:rPr>
        <w:t>”</w:t>
      </w:r>
      <w:r w:rsidR="005E4514" w:rsidRPr="00263279">
        <w:rPr>
          <w:rFonts w:ascii="Times New Roman" w:hAnsi="Times New Roman" w:cs="Times New Roman"/>
          <w:sz w:val="20"/>
          <w:szCs w:val="20"/>
        </w:rPr>
        <w:t xml:space="preserve"> Journal of Accounting Research</w:t>
      </w:r>
      <w:r w:rsidR="00263279">
        <w:rPr>
          <w:rFonts w:ascii="Times New Roman" w:hAnsi="Times New Roman" w:cs="Times New Roman" w:hint="eastAsia"/>
          <w:sz w:val="20"/>
          <w:szCs w:val="20"/>
        </w:rPr>
        <w:t>,</w:t>
      </w:r>
      <w:r w:rsidRPr="00263279">
        <w:rPr>
          <w:rFonts w:ascii="Times New Roman" w:hAnsi="Times New Roman" w:cs="Times New Roman"/>
          <w:sz w:val="20"/>
          <w:szCs w:val="20"/>
        </w:rPr>
        <w:t xml:space="preserve"> 20, </w:t>
      </w:r>
      <w:r w:rsidR="00263279">
        <w:rPr>
          <w:rFonts w:ascii="Times New Roman" w:hAnsi="Times New Roman" w:cs="Times New Roman" w:hint="eastAsia"/>
          <w:sz w:val="20"/>
          <w:szCs w:val="20"/>
        </w:rPr>
        <w:t>(</w:t>
      </w:r>
      <w:r w:rsidR="00263279" w:rsidRPr="00263279">
        <w:rPr>
          <w:rFonts w:ascii="Times New Roman" w:hAnsi="Times New Roman" w:cs="Times New Roman"/>
          <w:sz w:val="20"/>
          <w:szCs w:val="20"/>
        </w:rPr>
        <w:t>1982</w:t>
      </w:r>
      <w:r w:rsidR="00263279">
        <w:rPr>
          <w:rFonts w:ascii="Times New Roman" w:hAnsi="Times New Roman" w:cs="Times New Roman" w:hint="eastAsia"/>
          <w:sz w:val="20"/>
          <w:szCs w:val="20"/>
        </w:rPr>
        <w:t xml:space="preserve">), </w:t>
      </w:r>
      <w:r w:rsidRPr="00263279">
        <w:rPr>
          <w:rFonts w:ascii="Times New Roman" w:hAnsi="Times New Roman" w:cs="Times New Roman"/>
          <w:sz w:val="20"/>
          <w:szCs w:val="20"/>
        </w:rPr>
        <w:t xml:space="preserve">249-322. </w:t>
      </w:r>
    </w:p>
    <w:p w:rsidR="007D0623" w:rsidRPr="00263279" w:rsidRDefault="005E4514" w:rsidP="007D0623">
      <w:pPr>
        <w:spacing w:after="0" w:line="360" w:lineRule="auto"/>
        <w:jc w:val="both"/>
        <w:rPr>
          <w:rFonts w:ascii="Times New Roman" w:hAnsi="Times New Roman" w:cs="Times New Roman"/>
          <w:sz w:val="20"/>
          <w:szCs w:val="20"/>
        </w:rPr>
      </w:pPr>
      <w:r w:rsidRPr="00263279">
        <w:rPr>
          <w:rFonts w:ascii="Times New Roman" w:hAnsi="Times New Roman" w:cs="Times New Roman"/>
          <w:sz w:val="20"/>
          <w:szCs w:val="20"/>
        </w:rPr>
        <w:t xml:space="preserve">Merton, R., </w:t>
      </w:r>
      <w:r w:rsidR="00263279">
        <w:rPr>
          <w:rFonts w:ascii="Times New Roman" w:hAnsi="Times New Roman" w:cs="Times New Roman"/>
          <w:sz w:val="20"/>
          <w:szCs w:val="20"/>
        </w:rPr>
        <w:t>“</w:t>
      </w:r>
      <w:r w:rsidR="002800DD">
        <w:rPr>
          <w:rFonts w:ascii="Times New Roman" w:hAnsi="Times New Roman" w:cs="Times New Roman"/>
          <w:sz w:val="20"/>
          <w:szCs w:val="20"/>
        </w:rPr>
        <w:t xml:space="preserve">An </w:t>
      </w:r>
      <w:r w:rsidR="002800DD">
        <w:rPr>
          <w:rFonts w:ascii="Times New Roman" w:hAnsi="Times New Roman" w:cs="Times New Roman" w:hint="eastAsia"/>
          <w:sz w:val="20"/>
          <w:szCs w:val="20"/>
        </w:rPr>
        <w:t>I</w:t>
      </w:r>
      <w:r w:rsidR="007D0623" w:rsidRPr="00263279">
        <w:rPr>
          <w:rFonts w:ascii="Times New Roman" w:hAnsi="Times New Roman" w:cs="Times New Roman"/>
          <w:sz w:val="20"/>
          <w:szCs w:val="20"/>
        </w:rPr>
        <w:t>ntertempo</w:t>
      </w:r>
      <w:r w:rsidR="002800DD">
        <w:rPr>
          <w:rFonts w:ascii="Times New Roman" w:hAnsi="Times New Roman" w:cs="Times New Roman"/>
          <w:sz w:val="20"/>
          <w:szCs w:val="20"/>
        </w:rPr>
        <w:t xml:space="preserve">ral </w:t>
      </w:r>
      <w:r w:rsidR="002800DD">
        <w:rPr>
          <w:rFonts w:ascii="Times New Roman" w:hAnsi="Times New Roman" w:cs="Times New Roman" w:hint="eastAsia"/>
          <w:sz w:val="20"/>
          <w:szCs w:val="20"/>
        </w:rPr>
        <w:t>C</w:t>
      </w:r>
      <w:r w:rsidR="002800DD">
        <w:rPr>
          <w:rFonts w:ascii="Times New Roman" w:hAnsi="Times New Roman" w:cs="Times New Roman"/>
          <w:sz w:val="20"/>
          <w:szCs w:val="20"/>
        </w:rPr>
        <w:t xml:space="preserve">apital </w:t>
      </w:r>
      <w:r w:rsidR="002800DD">
        <w:rPr>
          <w:rFonts w:ascii="Times New Roman" w:hAnsi="Times New Roman" w:cs="Times New Roman" w:hint="eastAsia"/>
          <w:sz w:val="20"/>
          <w:szCs w:val="20"/>
        </w:rPr>
        <w:t>A</w:t>
      </w:r>
      <w:r w:rsidR="002800DD">
        <w:rPr>
          <w:rFonts w:ascii="Times New Roman" w:hAnsi="Times New Roman" w:cs="Times New Roman"/>
          <w:sz w:val="20"/>
          <w:szCs w:val="20"/>
        </w:rPr>
        <w:t xml:space="preserve">sset </w:t>
      </w:r>
      <w:r w:rsidR="002800DD">
        <w:rPr>
          <w:rFonts w:ascii="Times New Roman" w:hAnsi="Times New Roman" w:cs="Times New Roman" w:hint="eastAsia"/>
          <w:sz w:val="20"/>
          <w:szCs w:val="20"/>
        </w:rPr>
        <w:t>P</w:t>
      </w:r>
      <w:r w:rsidR="002800DD">
        <w:rPr>
          <w:rFonts w:ascii="Times New Roman" w:hAnsi="Times New Roman" w:cs="Times New Roman"/>
          <w:sz w:val="20"/>
          <w:szCs w:val="20"/>
        </w:rPr>
        <w:t xml:space="preserve">ricing </w:t>
      </w:r>
      <w:r w:rsidR="002800DD">
        <w:rPr>
          <w:rFonts w:ascii="Times New Roman" w:hAnsi="Times New Roman" w:cs="Times New Roman" w:hint="eastAsia"/>
          <w:sz w:val="20"/>
          <w:szCs w:val="20"/>
        </w:rPr>
        <w:t>M</w:t>
      </w:r>
      <w:r w:rsidRPr="00263279">
        <w:rPr>
          <w:rFonts w:ascii="Times New Roman" w:hAnsi="Times New Roman" w:cs="Times New Roman"/>
          <w:sz w:val="20"/>
          <w:szCs w:val="20"/>
        </w:rPr>
        <w:t>odel</w:t>
      </w:r>
      <w:r w:rsidRPr="00263279">
        <w:rPr>
          <w:rFonts w:ascii="Times New Roman" w:hAnsi="Times New Roman" w:cs="Times New Roman" w:hint="eastAsia"/>
          <w:sz w:val="20"/>
          <w:szCs w:val="20"/>
        </w:rPr>
        <w:t>,</w:t>
      </w:r>
      <w:r w:rsidR="002800DD">
        <w:rPr>
          <w:rFonts w:ascii="Times New Roman" w:hAnsi="Times New Roman" w:cs="Times New Roman"/>
          <w:sz w:val="20"/>
          <w:szCs w:val="20"/>
        </w:rPr>
        <w:t>”</w:t>
      </w:r>
      <w:r w:rsidRPr="00263279">
        <w:rPr>
          <w:rFonts w:ascii="Times New Roman" w:hAnsi="Times New Roman" w:cs="Times New Roman"/>
          <w:sz w:val="20"/>
          <w:szCs w:val="20"/>
        </w:rPr>
        <w:t xml:space="preserve"> Econometrica</w:t>
      </w:r>
      <w:r w:rsidR="002800DD">
        <w:rPr>
          <w:rFonts w:ascii="Times New Roman" w:hAnsi="Times New Roman" w:cs="Times New Roman" w:hint="eastAsia"/>
          <w:sz w:val="20"/>
          <w:szCs w:val="20"/>
        </w:rPr>
        <w:t>,</w:t>
      </w:r>
      <w:r w:rsidR="007D0623" w:rsidRPr="00263279">
        <w:rPr>
          <w:rFonts w:ascii="Times New Roman" w:hAnsi="Times New Roman" w:cs="Times New Roman"/>
          <w:sz w:val="20"/>
          <w:szCs w:val="20"/>
        </w:rPr>
        <w:t xml:space="preserve"> 41, </w:t>
      </w:r>
      <w:r w:rsidR="002800DD">
        <w:rPr>
          <w:rFonts w:ascii="Times New Roman" w:hAnsi="Times New Roman" w:cs="Times New Roman" w:hint="eastAsia"/>
          <w:sz w:val="20"/>
          <w:szCs w:val="20"/>
        </w:rPr>
        <w:t>(</w:t>
      </w:r>
      <w:r w:rsidR="002800DD" w:rsidRPr="00263279">
        <w:rPr>
          <w:rFonts w:ascii="Times New Roman" w:hAnsi="Times New Roman" w:cs="Times New Roman"/>
          <w:sz w:val="20"/>
          <w:szCs w:val="20"/>
        </w:rPr>
        <w:t>1973</w:t>
      </w:r>
      <w:r w:rsidR="002800DD">
        <w:rPr>
          <w:rFonts w:ascii="Times New Roman" w:hAnsi="Times New Roman" w:cs="Times New Roman" w:hint="eastAsia"/>
          <w:sz w:val="20"/>
          <w:szCs w:val="20"/>
        </w:rPr>
        <w:t xml:space="preserve">), </w:t>
      </w:r>
      <w:r w:rsidR="007D0623" w:rsidRPr="00263279">
        <w:rPr>
          <w:rFonts w:ascii="Times New Roman" w:hAnsi="Times New Roman" w:cs="Times New Roman"/>
          <w:sz w:val="20"/>
          <w:szCs w:val="20"/>
        </w:rPr>
        <w:t>867–887.</w:t>
      </w:r>
    </w:p>
    <w:p w:rsidR="007D0623" w:rsidRPr="00263279" w:rsidRDefault="007D0623" w:rsidP="007D0623">
      <w:pPr>
        <w:spacing w:after="0" w:line="360" w:lineRule="auto"/>
        <w:jc w:val="both"/>
        <w:rPr>
          <w:rFonts w:ascii="Times New Roman" w:hAnsi="Times New Roman" w:cs="Times New Roman"/>
          <w:sz w:val="20"/>
          <w:szCs w:val="20"/>
        </w:rPr>
      </w:pPr>
      <w:r w:rsidRPr="00263279">
        <w:rPr>
          <w:rFonts w:ascii="Times New Roman" w:hAnsi="Times New Roman" w:cs="Times New Roman"/>
          <w:sz w:val="20"/>
          <w:szCs w:val="20"/>
        </w:rPr>
        <w:t xml:space="preserve">Rosenberg, B., </w:t>
      </w:r>
      <w:r w:rsidR="005E4514" w:rsidRPr="00263279">
        <w:rPr>
          <w:rFonts w:ascii="Times New Roman" w:hAnsi="Times New Roman" w:cs="Times New Roman" w:hint="eastAsia"/>
          <w:sz w:val="20"/>
          <w:szCs w:val="20"/>
        </w:rPr>
        <w:t xml:space="preserve">K. </w:t>
      </w:r>
      <w:r w:rsidR="005E4514" w:rsidRPr="00263279">
        <w:rPr>
          <w:rFonts w:ascii="Times New Roman" w:hAnsi="Times New Roman" w:cs="Times New Roman"/>
          <w:sz w:val="20"/>
          <w:szCs w:val="20"/>
        </w:rPr>
        <w:t>Reid</w:t>
      </w:r>
      <w:r w:rsidRPr="00263279">
        <w:rPr>
          <w:rFonts w:ascii="Times New Roman" w:hAnsi="Times New Roman" w:cs="Times New Roman"/>
          <w:sz w:val="20"/>
          <w:szCs w:val="20"/>
        </w:rPr>
        <w:t xml:space="preserve">, </w:t>
      </w:r>
      <w:r w:rsidR="005E4514" w:rsidRPr="00263279">
        <w:rPr>
          <w:rFonts w:ascii="Times New Roman" w:hAnsi="Times New Roman" w:cs="Times New Roman" w:hint="eastAsia"/>
          <w:sz w:val="20"/>
          <w:szCs w:val="20"/>
        </w:rPr>
        <w:t xml:space="preserve">and R. </w:t>
      </w:r>
      <w:r w:rsidR="005E4514" w:rsidRPr="00263279">
        <w:rPr>
          <w:rFonts w:ascii="Times New Roman" w:hAnsi="Times New Roman" w:cs="Times New Roman"/>
          <w:sz w:val="20"/>
          <w:szCs w:val="20"/>
        </w:rPr>
        <w:t xml:space="preserve">Lanstein, </w:t>
      </w:r>
      <w:r w:rsidR="002800DD">
        <w:rPr>
          <w:rFonts w:ascii="Times New Roman" w:hAnsi="Times New Roman" w:cs="Times New Roman"/>
          <w:sz w:val="20"/>
          <w:szCs w:val="20"/>
        </w:rPr>
        <w:t>“</w:t>
      </w:r>
      <w:r w:rsidRPr="00263279">
        <w:rPr>
          <w:rFonts w:ascii="Times New Roman" w:hAnsi="Times New Roman" w:cs="Times New Roman"/>
          <w:sz w:val="20"/>
          <w:szCs w:val="20"/>
        </w:rPr>
        <w:t xml:space="preserve">Persuasive </w:t>
      </w:r>
      <w:r w:rsidR="002800DD">
        <w:rPr>
          <w:rFonts w:ascii="Times New Roman" w:hAnsi="Times New Roman" w:cs="Times New Roman" w:hint="eastAsia"/>
          <w:sz w:val="20"/>
          <w:szCs w:val="20"/>
        </w:rPr>
        <w:t>E</w:t>
      </w:r>
      <w:r w:rsidR="002800DD">
        <w:rPr>
          <w:rFonts w:ascii="Times New Roman" w:hAnsi="Times New Roman" w:cs="Times New Roman"/>
          <w:sz w:val="20"/>
          <w:szCs w:val="20"/>
        </w:rPr>
        <w:t xml:space="preserve">vidence of </w:t>
      </w:r>
      <w:r w:rsidR="002800DD">
        <w:rPr>
          <w:rFonts w:ascii="Times New Roman" w:hAnsi="Times New Roman" w:cs="Times New Roman" w:hint="eastAsia"/>
          <w:sz w:val="20"/>
          <w:szCs w:val="20"/>
        </w:rPr>
        <w:t>M</w:t>
      </w:r>
      <w:r w:rsidR="002800DD">
        <w:rPr>
          <w:rFonts w:ascii="Times New Roman" w:hAnsi="Times New Roman" w:cs="Times New Roman"/>
          <w:sz w:val="20"/>
          <w:szCs w:val="20"/>
        </w:rPr>
        <w:t xml:space="preserve">arket </w:t>
      </w:r>
      <w:r w:rsidR="002800DD">
        <w:rPr>
          <w:rFonts w:ascii="Times New Roman" w:hAnsi="Times New Roman" w:cs="Times New Roman" w:hint="eastAsia"/>
          <w:sz w:val="20"/>
          <w:szCs w:val="20"/>
        </w:rPr>
        <w:t>I</w:t>
      </w:r>
      <w:r w:rsidR="005E4514" w:rsidRPr="00263279">
        <w:rPr>
          <w:rFonts w:ascii="Times New Roman" w:hAnsi="Times New Roman" w:cs="Times New Roman"/>
          <w:sz w:val="20"/>
          <w:szCs w:val="20"/>
        </w:rPr>
        <w:t>nefficiency</w:t>
      </w:r>
      <w:r w:rsidR="005E4514" w:rsidRPr="00263279">
        <w:rPr>
          <w:rFonts w:ascii="Times New Roman" w:hAnsi="Times New Roman" w:cs="Times New Roman" w:hint="eastAsia"/>
          <w:sz w:val="20"/>
          <w:szCs w:val="20"/>
        </w:rPr>
        <w:t>,</w:t>
      </w:r>
      <w:r w:rsidR="002800DD">
        <w:rPr>
          <w:rFonts w:ascii="Times New Roman" w:hAnsi="Times New Roman" w:cs="Times New Roman"/>
          <w:sz w:val="20"/>
          <w:szCs w:val="20"/>
        </w:rPr>
        <w:t>”</w:t>
      </w:r>
      <w:r w:rsidRPr="00263279">
        <w:rPr>
          <w:rFonts w:ascii="Times New Roman" w:hAnsi="Times New Roman" w:cs="Times New Roman"/>
          <w:sz w:val="20"/>
          <w:szCs w:val="20"/>
        </w:rPr>
        <w:t xml:space="preserve"> </w:t>
      </w:r>
      <w:r w:rsidR="005E4514" w:rsidRPr="00263279">
        <w:rPr>
          <w:rFonts w:ascii="Times New Roman" w:hAnsi="Times New Roman" w:cs="Times New Roman"/>
          <w:sz w:val="20"/>
          <w:szCs w:val="20"/>
        </w:rPr>
        <w:t>Journal of Portfolio Management</w:t>
      </w:r>
      <w:r w:rsidR="002800DD">
        <w:rPr>
          <w:rFonts w:ascii="Times New Roman" w:hAnsi="Times New Roman" w:cs="Times New Roman" w:hint="eastAsia"/>
          <w:sz w:val="20"/>
          <w:szCs w:val="20"/>
        </w:rPr>
        <w:t>,</w:t>
      </w:r>
      <w:r w:rsidRPr="00263279">
        <w:rPr>
          <w:rFonts w:ascii="Times New Roman" w:hAnsi="Times New Roman" w:cs="Times New Roman"/>
          <w:sz w:val="20"/>
          <w:szCs w:val="20"/>
        </w:rPr>
        <w:t xml:space="preserve"> 11, </w:t>
      </w:r>
      <w:r w:rsidR="002800DD">
        <w:rPr>
          <w:rFonts w:ascii="Times New Roman" w:hAnsi="Times New Roman" w:cs="Times New Roman" w:hint="eastAsia"/>
          <w:sz w:val="20"/>
          <w:szCs w:val="20"/>
        </w:rPr>
        <w:t>(</w:t>
      </w:r>
      <w:r w:rsidR="002800DD" w:rsidRPr="00263279">
        <w:rPr>
          <w:rFonts w:ascii="Times New Roman" w:hAnsi="Times New Roman" w:cs="Times New Roman"/>
          <w:sz w:val="20"/>
          <w:szCs w:val="20"/>
        </w:rPr>
        <w:t>1985</w:t>
      </w:r>
      <w:r w:rsidR="002800DD">
        <w:rPr>
          <w:rFonts w:ascii="Times New Roman" w:hAnsi="Times New Roman" w:cs="Times New Roman" w:hint="eastAsia"/>
          <w:sz w:val="20"/>
          <w:szCs w:val="20"/>
        </w:rPr>
        <w:t xml:space="preserve">), </w:t>
      </w:r>
      <w:r w:rsidRPr="00263279">
        <w:rPr>
          <w:rFonts w:ascii="Times New Roman" w:hAnsi="Times New Roman" w:cs="Times New Roman"/>
          <w:sz w:val="20"/>
          <w:szCs w:val="20"/>
        </w:rPr>
        <w:t>9-17.</w:t>
      </w:r>
    </w:p>
    <w:p w:rsidR="002800DD" w:rsidRDefault="005E4514" w:rsidP="007D0623">
      <w:pPr>
        <w:spacing w:after="0" w:line="360" w:lineRule="auto"/>
        <w:jc w:val="both"/>
        <w:rPr>
          <w:rFonts w:ascii="Times New Roman" w:hAnsi="Times New Roman" w:cs="Times New Roman"/>
          <w:sz w:val="20"/>
          <w:szCs w:val="20"/>
        </w:rPr>
      </w:pPr>
      <w:r w:rsidRPr="00263279">
        <w:rPr>
          <w:rFonts w:ascii="Times New Roman" w:hAnsi="Times New Roman" w:cs="Times New Roman"/>
          <w:sz w:val="20"/>
          <w:szCs w:val="20"/>
        </w:rPr>
        <w:t xml:space="preserve">Stattman, D., </w:t>
      </w:r>
      <w:r w:rsidR="007D0623" w:rsidRPr="00CD307F">
        <w:rPr>
          <w:rFonts w:ascii="Times New Roman" w:hAnsi="Times New Roman" w:cs="Times New Roman"/>
          <w:i/>
          <w:sz w:val="20"/>
          <w:szCs w:val="20"/>
        </w:rPr>
        <w:t xml:space="preserve">Book value </w:t>
      </w:r>
      <w:r w:rsidRPr="00CD307F">
        <w:rPr>
          <w:rFonts w:ascii="Times New Roman" w:hAnsi="Times New Roman" w:cs="Times New Roman"/>
          <w:i/>
          <w:sz w:val="20"/>
          <w:szCs w:val="20"/>
        </w:rPr>
        <w:t>and stock returns, in</w:t>
      </w:r>
      <w:r w:rsidR="007D0623" w:rsidRPr="00CD307F">
        <w:rPr>
          <w:rFonts w:ascii="Times New Roman" w:hAnsi="Times New Roman" w:cs="Times New Roman"/>
          <w:i/>
          <w:sz w:val="20"/>
          <w:szCs w:val="20"/>
        </w:rPr>
        <w:t xml:space="preserve"> The Chicago MBA: A Journal of Selected Papers</w:t>
      </w:r>
      <w:r w:rsidRPr="00263279">
        <w:rPr>
          <w:rFonts w:ascii="Times New Roman" w:hAnsi="Times New Roman" w:cs="Times New Roman" w:hint="eastAsia"/>
          <w:sz w:val="20"/>
          <w:szCs w:val="20"/>
        </w:rPr>
        <w:t xml:space="preserve"> (</w:t>
      </w:r>
      <w:r w:rsidR="007D0623" w:rsidRPr="00263279">
        <w:rPr>
          <w:rFonts w:ascii="Times New Roman" w:hAnsi="Times New Roman" w:cs="Times New Roman"/>
          <w:sz w:val="20"/>
          <w:szCs w:val="20"/>
        </w:rPr>
        <w:t>University of Chicago, Chicago</w:t>
      </w:r>
      <w:r w:rsidRPr="00263279">
        <w:rPr>
          <w:rFonts w:ascii="Times New Roman" w:hAnsi="Times New Roman" w:cs="Times New Roman" w:hint="eastAsia"/>
          <w:sz w:val="20"/>
          <w:szCs w:val="20"/>
        </w:rPr>
        <w:t>)</w:t>
      </w:r>
      <w:r w:rsidR="007D0623" w:rsidRPr="00263279">
        <w:rPr>
          <w:rFonts w:ascii="Times New Roman" w:hAnsi="Times New Roman" w:cs="Times New Roman"/>
          <w:sz w:val="20"/>
          <w:szCs w:val="20"/>
        </w:rPr>
        <w:t xml:space="preserve">, </w:t>
      </w:r>
      <w:r w:rsidR="002800DD" w:rsidRPr="00263279">
        <w:rPr>
          <w:rFonts w:ascii="Times New Roman" w:hAnsi="Times New Roman" w:cs="Times New Roman"/>
          <w:sz w:val="20"/>
          <w:szCs w:val="20"/>
        </w:rPr>
        <w:t>1980</w:t>
      </w:r>
      <w:r w:rsidR="002800DD">
        <w:rPr>
          <w:rFonts w:ascii="Times New Roman" w:hAnsi="Times New Roman" w:cs="Times New Roman" w:hint="eastAsia"/>
          <w:sz w:val="20"/>
          <w:szCs w:val="20"/>
        </w:rPr>
        <w:t xml:space="preserve">, </w:t>
      </w:r>
      <w:r w:rsidR="002800DD" w:rsidRPr="00263279">
        <w:rPr>
          <w:rFonts w:ascii="Times New Roman" w:hAnsi="Times New Roman" w:cs="Times New Roman"/>
          <w:sz w:val="20"/>
          <w:szCs w:val="20"/>
        </w:rPr>
        <w:t>25-45</w:t>
      </w:r>
      <w:r w:rsidR="002800DD">
        <w:rPr>
          <w:rFonts w:ascii="Times New Roman" w:hAnsi="Times New Roman" w:cs="Times New Roman" w:hint="eastAsia"/>
          <w:sz w:val="20"/>
          <w:szCs w:val="20"/>
        </w:rPr>
        <w:t>.</w:t>
      </w:r>
    </w:p>
    <w:p w:rsidR="00945250" w:rsidRPr="00263279" w:rsidRDefault="005E4514" w:rsidP="007D0623">
      <w:pPr>
        <w:spacing w:after="0" w:line="360" w:lineRule="auto"/>
        <w:jc w:val="both"/>
        <w:rPr>
          <w:rFonts w:ascii="Times New Roman" w:hAnsi="Times New Roman" w:cs="Times New Roman"/>
          <w:bCs/>
          <w:sz w:val="20"/>
          <w:szCs w:val="20"/>
        </w:rPr>
      </w:pPr>
      <w:r w:rsidRPr="00263279">
        <w:rPr>
          <w:rFonts w:ascii="Times New Roman" w:hAnsi="Times New Roman" w:cs="Times New Roman"/>
          <w:sz w:val="20"/>
          <w:szCs w:val="20"/>
        </w:rPr>
        <w:t xml:space="preserve">Wilcox, J., </w:t>
      </w:r>
      <w:r w:rsidR="002800DD">
        <w:rPr>
          <w:rFonts w:ascii="Times New Roman" w:hAnsi="Times New Roman" w:cs="Times New Roman"/>
          <w:sz w:val="20"/>
          <w:szCs w:val="20"/>
        </w:rPr>
        <w:t xml:space="preserve">“The P/B-ROE </w:t>
      </w:r>
      <w:r w:rsidR="002800DD">
        <w:rPr>
          <w:rFonts w:ascii="Times New Roman" w:hAnsi="Times New Roman" w:cs="Times New Roman" w:hint="eastAsia"/>
          <w:sz w:val="20"/>
          <w:szCs w:val="20"/>
        </w:rPr>
        <w:t>V</w:t>
      </w:r>
      <w:r w:rsidR="002800DD">
        <w:rPr>
          <w:rFonts w:ascii="Times New Roman" w:hAnsi="Times New Roman" w:cs="Times New Roman"/>
          <w:sz w:val="20"/>
          <w:szCs w:val="20"/>
        </w:rPr>
        <w:t xml:space="preserve">aluation </w:t>
      </w:r>
      <w:r w:rsidR="002800DD">
        <w:rPr>
          <w:rFonts w:ascii="Times New Roman" w:hAnsi="Times New Roman" w:cs="Times New Roman" w:hint="eastAsia"/>
          <w:sz w:val="20"/>
          <w:szCs w:val="20"/>
        </w:rPr>
        <w:t>M</w:t>
      </w:r>
      <w:r w:rsidRPr="00263279">
        <w:rPr>
          <w:rFonts w:ascii="Times New Roman" w:hAnsi="Times New Roman" w:cs="Times New Roman"/>
          <w:sz w:val="20"/>
          <w:szCs w:val="20"/>
        </w:rPr>
        <w:t>odel</w:t>
      </w:r>
      <w:r w:rsidRPr="00263279">
        <w:rPr>
          <w:rFonts w:ascii="Times New Roman" w:hAnsi="Times New Roman" w:cs="Times New Roman" w:hint="eastAsia"/>
          <w:sz w:val="20"/>
          <w:szCs w:val="20"/>
        </w:rPr>
        <w:t>,</w:t>
      </w:r>
      <w:r w:rsidR="002800DD">
        <w:rPr>
          <w:rFonts w:ascii="Times New Roman" w:hAnsi="Times New Roman" w:cs="Times New Roman"/>
          <w:sz w:val="20"/>
          <w:szCs w:val="20"/>
        </w:rPr>
        <w:t>”</w:t>
      </w:r>
      <w:r w:rsidRPr="00263279">
        <w:rPr>
          <w:rFonts w:ascii="Times New Roman" w:hAnsi="Times New Roman" w:cs="Times New Roman"/>
          <w:sz w:val="20"/>
          <w:szCs w:val="20"/>
        </w:rPr>
        <w:t xml:space="preserve"> Financial Analysts Journal</w:t>
      </w:r>
      <w:r w:rsidR="002800DD">
        <w:rPr>
          <w:rFonts w:ascii="Times New Roman" w:hAnsi="Times New Roman" w:cs="Times New Roman" w:hint="eastAsia"/>
          <w:sz w:val="20"/>
          <w:szCs w:val="20"/>
        </w:rPr>
        <w:t>,</w:t>
      </w:r>
      <w:r w:rsidR="007D0623" w:rsidRPr="00263279">
        <w:rPr>
          <w:rFonts w:ascii="Times New Roman" w:hAnsi="Times New Roman" w:cs="Times New Roman"/>
          <w:sz w:val="20"/>
          <w:szCs w:val="20"/>
        </w:rPr>
        <w:t xml:space="preserve"> 40, </w:t>
      </w:r>
      <w:r w:rsidR="002800DD">
        <w:rPr>
          <w:rFonts w:ascii="Times New Roman" w:hAnsi="Times New Roman" w:cs="Times New Roman" w:hint="eastAsia"/>
          <w:sz w:val="20"/>
          <w:szCs w:val="20"/>
        </w:rPr>
        <w:t>(</w:t>
      </w:r>
      <w:r w:rsidR="002800DD" w:rsidRPr="00263279">
        <w:rPr>
          <w:rFonts w:ascii="Times New Roman" w:hAnsi="Times New Roman" w:cs="Times New Roman"/>
          <w:sz w:val="20"/>
          <w:szCs w:val="20"/>
        </w:rPr>
        <w:t>1984</w:t>
      </w:r>
      <w:r w:rsidR="002800DD">
        <w:rPr>
          <w:rFonts w:ascii="Times New Roman" w:hAnsi="Times New Roman" w:cs="Times New Roman" w:hint="eastAsia"/>
          <w:sz w:val="20"/>
          <w:szCs w:val="20"/>
        </w:rPr>
        <w:t xml:space="preserve">), </w:t>
      </w:r>
      <w:r w:rsidR="007D0623" w:rsidRPr="00263279">
        <w:rPr>
          <w:rFonts w:ascii="Times New Roman" w:hAnsi="Times New Roman" w:cs="Times New Roman"/>
          <w:sz w:val="20"/>
          <w:szCs w:val="20"/>
        </w:rPr>
        <w:t>58-66.</w:t>
      </w:r>
    </w:p>
    <w:sectPr w:rsidR="00945250" w:rsidRPr="00263279" w:rsidSect="00833D4E">
      <w:footerReference w:type="default" r:id="rId9"/>
      <w:footnotePr>
        <w:numRestart w:val="eachSect"/>
      </w:footnotePr>
      <w:endnotePr>
        <w:numFmt w:val="decimal"/>
      </w:endnotePr>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1B4D" w:rsidRDefault="00FC1B4D" w:rsidP="002B00BB">
      <w:pPr>
        <w:spacing w:after="0" w:line="240" w:lineRule="auto"/>
      </w:pPr>
      <w:r>
        <w:separator/>
      </w:r>
    </w:p>
  </w:endnote>
  <w:endnote w:type="continuationSeparator" w:id="0">
    <w:p w:rsidR="00FC1B4D" w:rsidRDefault="00FC1B4D" w:rsidP="002B00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8801672"/>
      <w:docPartObj>
        <w:docPartGallery w:val="Page Numbers (Bottom of Page)"/>
        <w:docPartUnique/>
      </w:docPartObj>
    </w:sdtPr>
    <w:sdtEndPr>
      <w:rPr>
        <w:noProof/>
      </w:rPr>
    </w:sdtEndPr>
    <w:sdtContent>
      <w:p w:rsidR="00455040" w:rsidRDefault="00455040">
        <w:pPr>
          <w:pStyle w:val="a8"/>
          <w:jc w:val="center"/>
        </w:pPr>
        <w:r>
          <w:fldChar w:fldCharType="begin"/>
        </w:r>
        <w:r>
          <w:instrText xml:space="preserve"> PAGE   \* MERGEFORMAT </w:instrText>
        </w:r>
        <w:r>
          <w:fldChar w:fldCharType="separate"/>
        </w:r>
        <w:r w:rsidR="00780073">
          <w:rPr>
            <w:noProof/>
          </w:rPr>
          <w:t>1</w:t>
        </w:r>
        <w:r>
          <w:rPr>
            <w:noProof/>
          </w:rPr>
          <w:fldChar w:fldCharType="end"/>
        </w:r>
      </w:p>
    </w:sdtContent>
  </w:sdt>
  <w:p w:rsidR="00455040" w:rsidRDefault="0045504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1B4D" w:rsidRDefault="00FC1B4D" w:rsidP="002B00BB">
      <w:pPr>
        <w:spacing w:after="0" w:line="240" w:lineRule="auto"/>
      </w:pPr>
      <w:r>
        <w:separator/>
      </w:r>
    </w:p>
  </w:footnote>
  <w:footnote w:type="continuationSeparator" w:id="0">
    <w:p w:rsidR="00FC1B4D" w:rsidRDefault="00FC1B4D" w:rsidP="002B00BB">
      <w:pPr>
        <w:spacing w:after="0" w:line="240" w:lineRule="auto"/>
      </w:pPr>
      <w:r>
        <w:continuationSeparator/>
      </w:r>
    </w:p>
  </w:footnote>
  <w:footnote w:id="1">
    <w:p w:rsidR="00455040" w:rsidRPr="00013B41" w:rsidRDefault="00455040">
      <w:pPr>
        <w:pStyle w:val="a9"/>
        <w:rPr>
          <w:rFonts w:ascii="Times New Roman" w:hAnsi="Times New Roman" w:cs="Times New Roman"/>
        </w:rPr>
      </w:pPr>
      <w:r w:rsidRPr="00013B41">
        <w:rPr>
          <w:rStyle w:val="aa"/>
          <w:rFonts w:ascii="Times New Roman" w:hAnsi="Times New Roman" w:cs="Times New Roman"/>
        </w:rPr>
        <w:t>*</w:t>
      </w:r>
      <w:r w:rsidRPr="00013B41">
        <w:rPr>
          <w:rFonts w:ascii="Times New Roman" w:hAnsi="Times New Roman" w:cs="Times New Roman"/>
        </w:rPr>
        <w:t xml:space="preserve"> Corresponding author.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9pt;height:10.9pt" o:bullet="t">
        <v:imagedata r:id="rId1" o:title="mso2D2C"/>
      </v:shape>
    </w:pict>
  </w:numPicBullet>
  <w:abstractNum w:abstractNumId="0">
    <w:nsid w:val="02A06A53"/>
    <w:multiLevelType w:val="multilevel"/>
    <w:tmpl w:val="858CC7C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F90400B"/>
    <w:multiLevelType w:val="hybridMultilevel"/>
    <w:tmpl w:val="F1BC5A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0A0429"/>
    <w:multiLevelType w:val="hybridMultilevel"/>
    <w:tmpl w:val="65D4018A"/>
    <w:lvl w:ilvl="0" w:tplc="4B766E22">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F97B49"/>
    <w:multiLevelType w:val="hybridMultilevel"/>
    <w:tmpl w:val="6D2A4D5E"/>
    <w:lvl w:ilvl="0" w:tplc="C26E99D0">
      <w:start w:val="1"/>
      <w:numFmt w:val="upperRoman"/>
      <w:lvlText w:val="%1."/>
      <w:lvlJc w:val="left"/>
      <w:pPr>
        <w:ind w:left="720" w:hanging="72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4">
    <w:nsid w:val="2E430277"/>
    <w:multiLevelType w:val="hybridMultilevel"/>
    <w:tmpl w:val="73D2C2CA"/>
    <w:lvl w:ilvl="0" w:tplc="04090007">
      <w:start w:val="1"/>
      <w:numFmt w:val="bullet"/>
      <w:lvlText w:val=""/>
      <w:lvlPicBulletId w:val="0"/>
      <w:lvlJc w:val="left"/>
      <w:pPr>
        <w:ind w:left="360" w:hanging="360"/>
      </w:pPr>
      <w:rPr>
        <w:rFonts w:ascii="Symbol" w:hAnsi="Symbol" w:hint="default"/>
      </w:rPr>
    </w:lvl>
    <w:lvl w:ilvl="1" w:tplc="0409000F">
      <w:start w:val="1"/>
      <w:numFmt w:val="decimal"/>
      <w:lvlText w:val="%2."/>
      <w:lvlJc w:val="left"/>
      <w:pPr>
        <w:ind w:left="1080" w:hanging="360"/>
      </w:pPr>
      <w:rPr>
        <w:rFont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FE2267B"/>
    <w:multiLevelType w:val="hybridMultilevel"/>
    <w:tmpl w:val="8612E5C6"/>
    <w:lvl w:ilvl="0" w:tplc="2CC60838">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26510F1"/>
    <w:multiLevelType w:val="hybridMultilevel"/>
    <w:tmpl w:val="57163FA2"/>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8EA2D45"/>
    <w:multiLevelType w:val="hybridMultilevel"/>
    <w:tmpl w:val="FEA6DD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2810B46"/>
    <w:multiLevelType w:val="hybridMultilevel"/>
    <w:tmpl w:val="EA5EBA30"/>
    <w:lvl w:ilvl="0" w:tplc="9C2A832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5060436C"/>
    <w:multiLevelType w:val="hybridMultilevel"/>
    <w:tmpl w:val="B7F83A06"/>
    <w:lvl w:ilvl="0" w:tplc="A1AA7C0E">
      <w:start w:val="1"/>
      <w:numFmt w:val="decimal"/>
      <w:lvlText w:val="%1."/>
      <w:lvlJc w:val="left"/>
      <w:pPr>
        <w:ind w:left="360" w:hanging="360"/>
      </w:pPr>
      <w:rPr>
        <w:rFonts w:hint="default"/>
      </w:rPr>
    </w:lvl>
    <w:lvl w:ilvl="1" w:tplc="04090019">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0">
    <w:nsid w:val="50B87C2B"/>
    <w:multiLevelType w:val="hybridMultilevel"/>
    <w:tmpl w:val="DD7211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21A7622"/>
    <w:multiLevelType w:val="hybridMultilevel"/>
    <w:tmpl w:val="860632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D206112"/>
    <w:multiLevelType w:val="hybridMultilevel"/>
    <w:tmpl w:val="286042B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64985DA5"/>
    <w:multiLevelType w:val="multilevel"/>
    <w:tmpl w:val="A82E5DF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67033675"/>
    <w:multiLevelType w:val="multilevel"/>
    <w:tmpl w:val="5A8889F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11"/>
  </w:num>
  <w:num w:numId="2">
    <w:abstractNumId w:val="7"/>
  </w:num>
  <w:num w:numId="3">
    <w:abstractNumId w:val="10"/>
  </w:num>
  <w:num w:numId="4">
    <w:abstractNumId w:val="12"/>
  </w:num>
  <w:num w:numId="5">
    <w:abstractNumId w:val="1"/>
  </w:num>
  <w:num w:numId="6">
    <w:abstractNumId w:val="4"/>
  </w:num>
  <w:num w:numId="7">
    <w:abstractNumId w:val="8"/>
  </w:num>
  <w:num w:numId="8">
    <w:abstractNumId w:val="5"/>
  </w:num>
  <w:num w:numId="9">
    <w:abstractNumId w:val="6"/>
  </w:num>
  <w:num w:numId="10">
    <w:abstractNumId w:val="14"/>
  </w:num>
  <w:num w:numId="11">
    <w:abstractNumId w:val="2"/>
  </w:num>
  <w:num w:numId="12">
    <w:abstractNumId w:val="0"/>
  </w:num>
  <w:num w:numId="13">
    <w:abstractNumId w:val="13"/>
  </w:num>
  <w:num w:numId="14">
    <w:abstractNumId w:val="3"/>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720"/>
  <w:characterSpacingControl w:val="doNotCompress"/>
  <w:hdrShapeDefaults>
    <o:shapedefaults v:ext="edit" spidmax="2049"/>
  </w:hdrShapeDefaults>
  <w:footnotePr>
    <w:numRestart w:val="eachSect"/>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DBB"/>
    <w:rsid w:val="00000E55"/>
    <w:rsid w:val="0000394D"/>
    <w:rsid w:val="00004A78"/>
    <w:rsid w:val="0001236D"/>
    <w:rsid w:val="00013B41"/>
    <w:rsid w:val="00016041"/>
    <w:rsid w:val="0001717C"/>
    <w:rsid w:val="00020986"/>
    <w:rsid w:val="00023D6E"/>
    <w:rsid w:val="0002559D"/>
    <w:rsid w:val="00034B21"/>
    <w:rsid w:val="00034F1F"/>
    <w:rsid w:val="00036082"/>
    <w:rsid w:val="00041096"/>
    <w:rsid w:val="00044AC4"/>
    <w:rsid w:val="00046053"/>
    <w:rsid w:val="00046AF9"/>
    <w:rsid w:val="00050202"/>
    <w:rsid w:val="00051FBB"/>
    <w:rsid w:val="000544F3"/>
    <w:rsid w:val="00056146"/>
    <w:rsid w:val="00056E89"/>
    <w:rsid w:val="000623F3"/>
    <w:rsid w:val="00064E1D"/>
    <w:rsid w:val="0006521E"/>
    <w:rsid w:val="0006683C"/>
    <w:rsid w:val="000707BE"/>
    <w:rsid w:val="00070AA9"/>
    <w:rsid w:val="000802C8"/>
    <w:rsid w:val="00085EBF"/>
    <w:rsid w:val="000867B5"/>
    <w:rsid w:val="00087321"/>
    <w:rsid w:val="00090093"/>
    <w:rsid w:val="00095C16"/>
    <w:rsid w:val="000A104F"/>
    <w:rsid w:val="000A2622"/>
    <w:rsid w:val="000A7BD3"/>
    <w:rsid w:val="000B4035"/>
    <w:rsid w:val="000C4888"/>
    <w:rsid w:val="000D25A9"/>
    <w:rsid w:val="000D27F1"/>
    <w:rsid w:val="000D29CE"/>
    <w:rsid w:val="000D2A8D"/>
    <w:rsid w:val="000D7FED"/>
    <w:rsid w:val="000E3DB1"/>
    <w:rsid w:val="000E6488"/>
    <w:rsid w:val="000F4C98"/>
    <w:rsid w:val="000F64F6"/>
    <w:rsid w:val="000F6DBA"/>
    <w:rsid w:val="000F7E58"/>
    <w:rsid w:val="00105BBC"/>
    <w:rsid w:val="00106F0E"/>
    <w:rsid w:val="001071CE"/>
    <w:rsid w:val="00107E3D"/>
    <w:rsid w:val="001123B0"/>
    <w:rsid w:val="00112B25"/>
    <w:rsid w:val="00113E72"/>
    <w:rsid w:val="001178F5"/>
    <w:rsid w:val="00117F65"/>
    <w:rsid w:val="00137FEF"/>
    <w:rsid w:val="00141148"/>
    <w:rsid w:val="0014145D"/>
    <w:rsid w:val="00143784"/>
    <w:rsid w:val="00144A71"/>
    <w:rsid w:val="001466A6"/>
    <w:rsid w:val="0015303E"/>
    <w:rsid w:val="001565E4"/>
    <w:rsid w:val="00157EAC"/>
    <w:rsid w:val="00164B49"/>
    <w:rsid w:val="00170FED"/>
    <w:rsid w:val="00172E65"/>
    <w:rsid w:val="0017361C"/>
    <w:rsid w:val="00180D44"/>
    <w:rsid w:val="001862A7"/>
    <w:rsid w:val="0018786C"/>
    <w:rsid w:val="001939A3"/>
    <w:rsid w:val="00196F9D"/>
    <w:rsid w:val="001A1B10"/>
    <w:rsid w:val="001A3E10"/>
    <w:rsid w:val="001A63E4"/>
    <w:rsid w:val="001A6B81"/>
    <w:rsid w:val="001B24CB"/>
    <w:rsid w:val="001B281E"/>
    <w:rsid w:val="001B56C1"/>
    <w:rsid w:val="001C0F35"/>
    <w:rsid w:val="001E174A"/>
    <w:rsid w:val="001E722F"/>
    <w:rsid w:val="001F0491"/>
    <w:rsid w:val="002022B7"/>
    <w:rsid w:val="00203B5F"/>
    <w:rsid w:val="00203E72"/>
    <w:rsid w:val="002132E9"/>
    <w:rsid w:val="00214BB8"/>
    <w:rsid w:val="00214F92"/>
    <w:rsid w:val="00217E96"/>
    <w:rsid w:val="00221B8C"/>
    <w:rsid w:val="0022356E"/>
    <w:rsid w:val="00224202"/>
    <w:rsid w:val="00224B68"/>
    <w:rsid w:val="00230290"/>
    <w:rsid w:val="002437BB"/>
    <w:rsid w:val="0024430A"/>
    <w:rsid w:val="00246002"/>
    <w:rsid w:val="00250C9D"/>
    <w:rsid w:val="0025657A"/>
    <w:rsid w:val="00260E7A"/>
    <w:rsid w:val="00262026"/>
    <w:rsid w:val="00263279"/>
    <w:rsid w:val="002640A3"/>
    <w:rsid w:val="00264E44"/>
    <w:rsid w:val="00265399"/>
    <w:rsid w:val="00267EF3"/>
    <w:rsid w:val="00270606"/>
    <w:rsid w:val="00273B68"/>
    <w:rsid w:val="0027566D"/>
    <w:rsid w:val="002758C4"/>
    <w:rsid w:val="00275F47"/>
    <w:rsid w:val="00276CC1"/>
    <w:rsid w:val="00276EAE"/>
    <w:rsid w:val="00277C70"/>
    <w:rsid w:val="002800DD"/>
    <w:rsid w:val="00282CA2"/>
    <w:rsid w:val="0028364A"/>
    <w:rsid w:val="00286819"/>
    <w:rsid w:val="00290177"/>
    <w:rsid w:val="00293284"/>
    <w:rsid w:val="002A76EF"/>
    <w:rsid w:val="002A7C3B"/>
    <w:rsid w:val="002B00BB"/>
    <w:rsid w:val="002B0B4F"/>
    <w:rsid w:val="002B0CD5"/>
    <w:rsid w:val="002B2E97"/>
    <w:rsid w:val="002C17D9"/>
    <w:rsid w:val="002C2705"/>
    <w:rsid w:val="002C3BFC"/>
    <w:rsid w:val="002C6190"/>
    <w:rsid w:val="002D00E9"/>
    <w:rsid w:val="002D0422"/>
    <w:rsid w:val="002D3C95"/>
    <w:rsid w:val="002D4661"/>
    <w:rsid w:val="002D6F09"/>
    <w:rsid w:val="002E00A5"/>
    <w:rsid w:val="002E0ADD"/>
    <w:rsid w:val="002E195B"/>
    <w:rsid w:val="002E20CD"/>
    <w:rsid w:val="002E283B"/>
    <w:rsid w:val="002E55C2"/>
    <w:rsid w:val="002E57F9"/>
    <w:rsid w:val="002E709D"/>
    <w:rsid w:val="002E7867"/>
    <w:rsid w:val="002F04B7"/>
    <w:rsid w:val="002F05A0"/>
    <w:rsid w:val="002F375E"/>
    <w:rsid w:val="002F4916"/>
    <w:rsid w:val="002F7016"/>
    <w:rsid w:val="00302DB7"/>
    <w:rsid w:val="003200D2"/>
    <w:rsid w:val="00320227"/>
    <w:rsid w:val="003202F0"/>
    <w:rsid w:val="003215AF"/>
    <w:rsid w:val="003236E0"/>
    <w:rsid w:val="00331031"/>
    <w:rsid w:val="00331089"/>
    <w:rsid w:val="0033400C"/>
    <w:rsid w:val="00334B16"/>
    <w:rsid w:val="00335DC1"/>
    <w:rsid w:val="00337B12"/>
    <w:rsid w:val="00340776"/>
    <w:rsid w:val="00343B1A"/>
    <w:rsid w:val="00345129"/>
    <w:rsid w:val="00351225"/>
    <w:rsid w:val="00353D60"/>
    <w:rsid w:val="0036047A"/>
    <w:rsid w:val="00362F08"/>
    <w:rsid w:val="00364513"/>
    <w:rsid w:val="003652B1"/>
    <w:rsid w:val="0036646C"/>
    <w:rsid w:val="00375264"/>
    <w:rsid w:val="00381685"/>
    <w:rsid w:val="003902BC"/>
    <w:rsid w:val="003906BE"/>
    <w:rsid w:val="0039086A"/>
    <w:rsid w:val="00391AA9"/>
    <w:rsid w:val="00394619"/>
    <w:rsid w:val="00395D8E"/>
    <w:rsid w:val="00395F33"/>
    <w:rsid w:val="00395FE1"/>
    <w:rsid w:val="003A20EE"/>
    <w:rsid w:val="003A337C"/>
    <w:rsid w:val="003B271D"/>
    <w:rsid w:val="003B2D95"/>
    <w:rsid w:val="003D30A3"/>
    <w:rsid w:val="003D5613"/>
    <w:rsid w:val="003E01C8"/>
    <w:rsid w:val="003E3604"/>
    <w:rsid w:val="003E3692"/>
    <w:rsid w:val="003E3F6D"/>
    <w:rsid w:val="003F112B"/>
    <w:rsid w:val="003F3D39"/>
    <w:rsid w:val="003F4672"/>
    <w:rsid w:val="003F55C4"/>
    <w:rsid w:val="003F6B30"/>
    <w:rsid w:val="003F757D"/>
    <w:rsid w:val="0040124B"/>
    <w:rsid w:val="00401451"/>
    <w:rsid w:val="0040201C"/>
    <w:rsid w:val="00403F65"/>
    <w:rsid w:val="00405D74"/>
    <w:rsid w:val="004118F8"/>
    <w:rsid w:val="00413C2F"/>
    <w:rsid w:val="004157BA"/>
    <w:rsid w:val="00416B50"/>
    <w:rsid w:val="00417242"/>
    <w:rsid w:val="00417B1C"/>
    <w:rsid w:val="004268C5"/>
    <w:rsid w:val="0042754F"/>
    <w:rsid w:val="00432060"/>
    <w:rsid w:val="00433265"/>
    <w:rsid w:val="00434504"/>
    <w:rsid w:val="004354F7"/>
    <w:rsid w:val="00440CAB"/>
    <w:rsid w:val="00442839"/>
    <w:rsid w:val="00444403"/>
    <w:rsid w:val="00444418"/>
    <w:rsid w:val="00444C21"/>
    <w:rsid w:val="00445DA2"/>
    <w:rsid w:val="00451310"/>
    <w:rsid w:val="00453F8E"/>
    <w:rsid w:val="00455040"/>
    <w:rsid w:val="0046310C"/>
    <w:rsid w:val="00466B50"/>
    <w:rsid w:val="0047059E"/>
    <w:rsid w:val="0047158F"/>
    <w:rsid w:val="004764CC"/>
    <w:rsid w:val="004768F3"/>
    <w:rsid w:val="004816F9"/>
    <w:rsid w:val="00484172"/>
    <w:rsid w:val="0048471E"/>
    <w:rsid w:val="0048770A"/>
    <w:rsid w:val="004877C2"/>
    <w:rsid w:val="00492E32"/>
    <w:rsid w:val="00493E3B"/>
    <w:rsid w:val="00497EBF"/>
    <w:rsid w:val="004A3F05"/>
    <w:rsid w:val="004A483B"/>
    <w:rsid w:val="004A51E4"/>
    <w:rsid w:val="004A61F6"/>
    <w:rsid w:val="004B3F5B"/>
    <w:rsid w:val="004B6038"/>
    <w:rsid w:val="004B6168"/>
    <w:rsid w:val="004C17D2"/>
    <w:rsid w:val="004C246A"/>
    <w:rsid w:val="004C52DB"/>
    <w:rsid w:val="004C5D08"/>
    <w:rsid w:val="004D16A0"/>
    <w:rsid w:val="004D2537"/>
    <w:rsid w:val="004D284B"/>
    <w:rsid w:val="004D4936"/>
    <w:rsid w:val="004D5389"/>
    <w:rsid w:val="004D66C1"/>
    <w:rsid w:val="004D69B6"/>
    <w:rsid w:val="004E4BDD"/>
    <w:rsid w:val="004F29A4"/>
    <w:rsid w:val="005016F0"/>
    <w:rsid w:val="00501ADD"/>
    <w:rsid w:val="00506016"/>
    <w:rsid w:val="00507A74"/>
    <w:rsid w:val="00511A9C"/>
    <w:rsid w:val="0051360D"/>
    <w:rsid w:val="00513C50"/>
    <w:rsid w:val="0051440C"/>
    <w:rsid w:val="00516A3B"/>
    <w:rsid w:val="00517E27"/>
    <w:rsid w:val="00521B4E"/>
    <w:rsid w:val="00524708"/>
    <w:rsid w:val="005279EE"/>
    <w:rsid w:val="00533332"/>
    <w:rsid w:val="0053672E"/>
    <w:rsid w:val="00536B9F"/>
    <w:rsid w:val="005431CA"/>
    <w:rsid w:val="00547B21"/>
    <w:rsid w:val="005564D0"/>
    <w:rsid w:val="0055796D"/>
    <w:rsid w:val="00561175"/>
    <w:rsid w:val="0056412D"/>
    <w:rsid w:val="005652F9"/>
    <w:rsid w:val="00570930"/>
    <w:rsid w:val="00570D01"/>
    <w:rsid w:val="00575F33"/>
    <w:rsid w:val="005771BC"/>
    <w:rsid w:val="00581BC0"/>
    <w:rsid w:val="00583990"/>
    <w:rsid w:val="00590816"/>
    <w:rsid w:val="005936E6"/>
    <w:rsid w:val="00595921"/>
    <w:rsid w:val="00596FF0"/>
    <w:rsid w:val="00597867"/>
    <w:rsid w:val="00597A6A"/>
    <w:rsid w:val="005A1282"/>
    <w:rsid w:val="005A24E3"/>
    <w:rsid w:val="005A6D37"/>
    <w:rsid w:val="005B7EF5"/>
    <w:rsid w:val="005C31DB"/>
    <w:rsid w:val="005C3484"/>
    <w:rsid w:val="005C4E48"/>
    <w:rsid w:val="005C6999"/>
    <w:rsid w:val="005C78E7"/>
    <w:rsid w:val="005D1F19"/>
    <w:rsid w:val="005D796B"/>
    <w:rsid w:val="005E0891"/>
    <w:rsid w:val="005E4257"/>
    <w:rsid w:val="005E4514"/>
    <w:rsid w:val="005E5F94"/>
    <w:rsid w:val="005F50B5"/>
    <w:rsid w:val="00600F53"/>
    <w:rsid w:val="00601057"/>
    <w:rsid w:val="00612DE5"/>
    <w:rsid w:val="00616726"/>
    <w:rsid w:val="006168FF"/>
    <w:rsid w:val="006178BF"/>
    <w:rsid w:val="00620AD9"/>
    <w:rsid w:val="006260A8"/>
    <w:rsid w:val="00626224"/>
    <w:rsid w:val="006264A0"/>
    <w:rsid w:val="00630604"/>
    <w:rsid w:val="006373F3"/>
    <w:rsid w:val="006410E3"/>
    <w:rsid w:val="006419EF"/>
    <w:rsid w:val="006469A8"/>
    <w:rsid w:val="00647F2E"/>
    <w:rsid w:val="00650F32"/>
    <w:rsid w:val="0065263A"/>
    <w:rsid w:val="00653241"/>
    <w:rsid w:val="00655450"/>
    <w:rsid w:val="00655658"/>
    <w:rsid w:val="00657930"/>
    <w:rsid w:val="006642B1"/>
    <w:rsid w:val="00664AAA"/>
    <w:rsid w:val="006664CF"/>
    <w:rsid w:val="00672707"/>
    <w:rsid w:val="00673B08"/>
    <w:rsid w:val="00680B6B"/>
    <w:rsid w:val="00681200"/>
    <w:rsid w:val="00681F20"/>
    <w:rsid w:val="00687BC5"/>
    <w:rsid w:val="006909A4"/>
    <w:rsid w:val="00690AE7"/>
    <w:rsid w:val="00693960"/>
    <w:rsid w:val="00694515"/>
    <w:rsid w:val="006A0D83"/>
    <w:rsid w:val="006A3893"/>
    <w:rsid w:val="006A4985"/>
    <w:rsid w:val="006B4825"/>
    <w:rsid w:val="006B590C"/>
    <w:rsid w:val="006B5AA6"/>
    <w:rsid w:val="006B77AC"/>
    <w:rsid w:val="006C3AB7"/>
    <w:rsid w:val="006D11D9"/>
    <w:rsid w:val="006D3EDD"/>
    <w:rsid w:val="006E1891"/>
    <w:rsid w:val="006E1C9C"/>
    <w:rsid w:val="006E6869"/>
    <w:rsid w:val="006F032B"/>
    <w:rsid w:val="006F2025"/>
    <w:rsid w:val="006F2774"/>
    <w:rsid w:val="006F2BF8"/>
    <w:rsid w:val="006F6645"/>
    <w:rsid w:val="006F7441"/>
    <w:rsid w:val="006F7D2A"/>
    <w:rsid w:val="0070002A"/>
    <w:rsid w:val="007069F4"/>
    <w:rsid w:val="00706BF0"/>
    <w:rsid w:val="007078FF"/>
    <w:rsid w:val="00710634"/>
    <w:rsid w:val="00710866"/>
    <w:rsid w:val="00712205"/>
    <w:rsid w:val="00714606"/>
    <w:rsid w:val="007213D4"/>
    <w:rsid w:val="007257E8"/>
    <w:rsid w:val="007327CC"/>
    <w:rsid w:val="00732803"/>
    <w:rsid w:val="007329ED"/>
    <w:rsid w:val="00734173"/>
    <w:rsid w:val="00734BEE"/>
    <w:rsid w:val="00736556"/>
    <w:rsid w:val="007411CF"/>
    <w:rsid w:val="00742F06"/>
    <w:rsid w:val="00743448"/>
    <w:rsid w:val="00745C17"/>
    <w:rsid w:val="00746411"/>
    <w:rsid w:val="0075029F"/>
    <w:rsid w:val="00753812"/>
    <w:rsid w:val="00755196"/>
    <w:rsid w:val="00756BEC"/>
    <w:rsid w:val="00760502"/>
    <w:rsid w:val="00760845"/>
    <w:rsid w:val="007613D1"/>
    <w:rsid w:val="00763547"/>
    <w:rsid w:val="00767586"/>
    <w:rsid w:val="0077266A"/>
    <w:rsid w:val="00772CBE"/>
    <w:rsid w:val="0077707A"/>
    <w:rsid w:val="00780073"/>
    <w:rsid w:val="00780460"/>
    <w:rsid w:val="00781B36"/>
    <w:rsid w:val="00783CD7"/>
    <w:rsid w:val="0078633D"/>
    <w:rsid w:val="007875C9"/>
    <w:rsid w:val="00792025"/>
    <w:rsid w:val="00797194"/>
    <w:rsid w:val="007A061C"/>
    <w:rsid w:val="007A1088"/>
    <w:rsid w:val="007A2E52"/>
    <w:rsid w:val="007A47A0"/>
    <w:rsid w:val="007A6AE9"/>
    <w:rsid w:val="007A7706"/>
    <w:rsid w:val="007C3886"/>
    <w:rsid w:val="007C41EC"/>
    <w:rsid w:val="007C4DDD"/>
    <w:rsid w:val="007C7F62"/>
    <w:rsid w:val="007D0623"/>
    <w:rsid w:val="007D4385"/>
    <w:rsid w:val="007D4596"/>
    <w:rsid w:val="007D7169"/>
    <w:rsid w:val="007E42E0"/>
    <w:rsid w:val="007E6B88"/>
    <w:rsid w:val="007E6ECA"/>
    <w:rsid w:val="007F0721"/>
    <w:rsid w:val="007F4AE0"/>
    <w:rsid w:val="008033EF"/>
    <w:rsid w:val="00805DC5"/>
    <w:rsid w:val="0080709C"/>
    <w:rsid w:val="0081419F"/>
    <w:rsid w:val="00814A17"/>
    <w:rsid w:val="008166F3"/>
    <w:rsid w:val="00816F2C"/>
    <w:rsid w:val="008216E0"/>
    <w:rsid w:val="00822312"/>
    <w:rsid w:val="00826786"/>
    <w:rsid w:val="008267E6"/>
    <w:rsid w:val="0082794E"/>
    <w:rsid w:val="00833D4E"/>
    <w:rsid w:val="00834908"/>
    <w:rsid w:val="00835ACC"/>
    <w:rsid w:val="008370BD"/>
    <w:rsid w:val="0084362A"/>
    <w:rsid w:val="00845A79"/>
    <w:rsid w:val="00852770"/>
    <w:rsid w:val="008570A7"/>
    <w:rsid w:val="00857957"/>
    <w:rsid w:val="00860799"/>
    <w:rsid w:val="008610CE"/>
    <w:rsid w:val="008634E9"/>
    <w:rsid w:val="0086713A"/>
    <w:rsid w:val="00871AF7"/>
    <w:rsid w:val="00874E37"/>
    <w:rsid w:val="0087504E"/>
    <w:rsid w:val="00875723"/>
    <w:rsid w:val="0088046F"/>
    <w:rsid w:val="0088383F"/>
    <w:rsid w:val="008840E2"/>
    <w:rsid w:val="00885BA0"/>
    <w:rsid w:val="00886C6C"/>
    <w:rsid w:val="00891CED"/>
    <w:rsid w:val="008924CC"/>
    <w:rsid w:val="00892FD4"/>
    <w:rsid w:val="008938C7"/>
    <w:rsid w:val="008A122D"/>
    <w:rsid w:val="008A5E95"/>
    <w:rsid w:val="008B097F"/>
    <w:rsid w:val="008C017E"/>
    <w:rsid w:val="008D52BE"/>
    <w:rsid w:val="008D7276"/>
    <w:rsid w:val="008E1525"/>
    <w:rsid w:val="008E4024"/>
    <w:rsid w:val="008E4506"/>
    <w:rsid w:val="008E5820"/>
    <w:rsid w:val="008E6173"/>
    <w:rsid w:val="008E6592"/>
    <w:rsid w:val="008F0D77"/>
    <w:rsid w:val="008F1620"/>
    <w:rsid w:val="008F5696"/>
    <w:rsid w:val="00901788"/>
    <w:rsid w:val="00901C8A"/>
    <w:rsid w:val="009057AD"/>
    <w:rsid w:val="009114EE"/>
    <w:rsid w:val="009117EA"/>
    <w:rsid w:val="00912BB6"/>
    <w:rsid w:val="00920900"/>
    <w:rsid w:val="00920DED"/>
    <w:rsid w:val="00923C12"/>
    <w:rsid w:val="00924020"/>
    <w:rsid w:val="00930329"/>
    <w:rsid w:val="00931097"/>
    <w:rsid w:val="009363BA"/>
    <w:rsid w:val="00936584"/>
    <w:rsid w:val="0093784F"/>
    <w:rsid w:val="00940237"/>
    <w:rsid w:val="00942595"/>
    <w:rsid w:val="00944AE2"/>
    <w:rsid w:val="00945250"/>
    <w:rsid w:val="00945613"/>
    <w:rsid w:val="00951F12"/>
    <w:rsid w:val="00952C44"/>
    <w:rsid w:val="009534A7"/>
    <w:rsid w:val="00954A10"/>
    <w:rsid w:val="009662EE"/>
    <w:rsid w:val="009726A8"/>
    <w:rsid w:val="00973364"/>
    <w:rsid w:val="00975D69"/>
    <w:rsid w:val="00977B62"/>
    <w:rsid w:val="00980025"/>
    <w:rsid w:val="00980DC4"/>
    <w:rsid w:val="00984454"/>
    <w:rsid w:val="009857F5"/>
    <w:rsid w:val="00994F7F"/>
    <w:rsid w:val="00997CED"/>
    <w:rsid w:val="009A07F3"/>
    <w:rsid w:val="009A270A"/>
    <w:rsid w:val="009A4D64"/>
    <w:rsid w:val="009A77ED"/>
    <w:rsid w:val="009A77F4"/>
    <w:rsid w:val="009B064F"/>
    <w:rsid w:val="009B1E12"/>
    <w:rsid w:val="009B78CF"/>
    <w:rsid w:val="009C110B"/>
    <w:rsid w:val="009C30CE"/>
    <w:rsid w:val="009C3ED0"/>
    <w:rsid w:val="009C7900"/>
    <w:rsid w:val="009D221E"/>
    <w:rsid w:val="009D64EA"/>
    <w:rsid w:val="009E16ED"/>
    <w:rsid w:val="009E2920"/>
    <w:rsid w:val="009E63F2"/>
    <w:rsid w:val="009F1B03"/>
    <w:rsid w:val="009F28B4"/>
    <w:rsid w:val="009F45D8"/>
    <w:rsid w:val="009F488E"/>
    <w:rsid w:val="00A02A54"/>
    <w:rsid w:val="00A034DC"/>
    <w:rsid w:val="00A04607"/>
    <w:rsid w:val="00A05669"/>
    <w:rsid w:val="00A10EFE"/>
    <w:rsid w:val="00A126C7"/>
    <w:rsid w:val="00A14C5A"/>
    <w:rsid w:val="00A1543D"/>
    <w:rsid w:val="00A15F53"/>
    <w:rsid w:val="00A24783"/>
    <w:rsid w:val="00A25600"/>
    <w:rsid w:val="00A25BE8"/>
    <w:rsid w:val="00A25CB4"/>
    <w:rsid w:val="00A25E0C"/>
    <w:rsid w:val="00A30D38"/>
    <w:rsid w:val="00A313AD"/>
    <w:rsid w:val="00A32984"/>
    <w:rsid w:val="00A340F4"/>
    <w:rsid w:val="00A4097B"/>
    <w:rsid w:val="00A41E5E"/>
    <w:rsid w:val="00A42A39"/>
    <w:rsid w:val="00A44A10"/>
    <w:rsid w:val="00A44C98"/>
    <w:rsid w:val="00A52AF5"/>
    <w:rsid w:val="00A55494"/>
    <w:rsid w:val="00A5688F"/>
    <w:rsid w:val="00A5727F"/>
    <w:rsid w:val="00A6331D"/>
    <w:rsid w:val="00A6490C"/>
    <w:rsid w:val="00A75E4A"/>
    <w:rsid w:val="00A76E63"/>
    <w:rsid w:val="00A83FCD"/>
    <w:rsid w:val="00A84D7C"/>
    <w:rsid w:val="00A8697B"/>
    <w:rsid w:val="00A9076D"/>
    <w:rsid w:val="00A91818"/>
    <w:rsid w:val="00A91DBF"/>
    <w:rsid w:val="00A95ECF"/>
    <w:rsid w:val="00AA0A1C"/>
    <w:rsid w:val="00AA2558"/>
    <w:rsid w:val="00AA2BA7"/>
    <w:rsid w:val="00AA4160"/>
    <w:rsid w:val="00AA47C3"/>
    <w:rsid w:val="00AA79EF"/>
    <w:rsid w:val="00AA7B0D"/>
    <w:rsid w:val="00AA7FE7"/>
    <w:rsid w:val="00AB0878"/>
    <w:rsid w:val="00AC16BE"/>
    <w:rsid w:val="00AC4931"/>
    <w:rsid w:val="00AD0993"/>
    <w:rsid w:val="00AD1349"/>
    <w:rsid w:val="00AD3419"/>
    <w:rsid w:val="00AD39B3"/>
    <w:rsid w:val="00AD41B3"/>
    <w:rsid w:val="00AD41F6"/>
    <w:rsid w:val="00AD4517"/>
    <w:rsid w:val="00AD7B9C"/>
    <w:rsid w:val="00AE45C7"/>
    <w:rsid w:val="00AE5175"/>
    <w:rsid w:val="00AE6176"/>
    <w:rsid w:val="00AE68F2"/>
    <w:rsid w:val="00AF1AF3"/>
    <w:rsid w:val="00AF21D7"/>
    <w:rsid w:val="00AF261F"/>
    <w:rsid w:val="00B0019D"/>
    <w:rsid w:val="00B00221"/>
    <w:rsid w:val="00B00327"/>
    <w:rsid w:val="00B006F1"/>
    <w:rsid w:val="00B00BDB"/>
    <w:rsid w:val="00B04651"/>
    <w:rsid w:val="00B05179"/>
    <w:rsid w:val="00B11E31"/>
    <w:rsid w:val="00B15A2B"/>
    <w:rsid w:val="00B17C24"/>
    <w:rsid w:val="00B21059"/>
    <w:rsid w:val="00B23441"/>
    <w:rsid w:val="00B23498"/>
    <w:rsid w:val="00B23947"/>
    <w:rsid w:val="00B2541E"/>
    <w:rsid w:val="00B272CC"/>
    <w:rsid w:val="00B27F4B"/>
    <w:rsid w:val="00B30E5A"/>
    <w:rsid w:val="00B311F1"/>
    <w:rsid w:val="00B36E84"/>
    <w:rsid w:val="00B40ED1"/>
    <w:rsid w:val="00B411EA"/>
    <w:rsid w:val="00B439CB"/>
    <w:rsid w:val="00B45BFE"/>
    <w:rsid w:val="00B5164A"/>
    <w:rsid w:val="00B558C7"/>
    <w:rsid w:val="00B56AF4"/>
    <w:rsid w:val="00B6274B"/>
    <w:rsid w:val="00B634EB"/>
    <w:rsid w:val="00B64AE0"/>
    <w:rsid w:val="00B7002A"/>
    <w:rsid w:val="00B72FCD"/>
    <w:rsid w:val="00B830F4"/>
    <w:rsid w:val="00B846A1"/>
    <w:rsid w:val="00B85024"/>
    <w:rsid w:val="00B9031F"/>
    <w:rsid w:val="00B91C2C"/>
    <w:rsid w:val="00BA7901"/>
    <w:rsid w:val="00BD133D"/>
    <w:rsid w:val="00BD25A6"/>
    <w:rsid w:val="00BD29CA"/>
    <w:rsid w:val="00BD435D"/>
    <w:rsid w:val="00BD49E4"/>
    <w:rsid w:val="00BD4A4C"/>
    <w:rsid w:val="00BD7D32"/>
    <w:rsid w:val="00BE0811"/>
    <w:rsid w:val="00BE447C"/>
    <w:rsid w:val="00BF0055"/>
    <w:rsid w:val="00BF03FF"/>
    <w:rsid w:val="00BF08E0"/>
    <w:rsid w:val="00BF25BA"/>
    <w:rsid w:val="00BF4111"/>
    <w:rsid w:val="00BF7700"/>
    <w:rsid w:val="00C039F0"/>
    <w:rsid w:val="00C05462"/>
    <w:rsid w:val="00C06921"/>
    <w:rsid w:val="00C10938"/>
    <w:rsid w:val="00C1332F"/>
    <w:rsid w:val="00C2035F"/>
    <w:rsid w:val="00C372C3"/>
    <w:rsid w:val="00C3733C"/>
    <w:rsid w:val="00C37379"/>
    <w:rsid w:val="00C427C7"/>
    <w:rsid w:val="00C43E64"/>
    <w:rsid w:val="00C44372"/>
    <w:rsid w:val="00C4649B"/>
    <w:rsid w:val="00C515AD"/>
    <w:rsid w:val="00C51AD9"/>
    <w:rsid w:val="00C54B3E"/>
    <w:rsid w:val="00C5637F"/>
    <w:rsid w:val="00C6084C"/>
    <w:rsid w:val="00C60EC3"/>
    <w:rsid w:val="00C66CD9"/>
    <w:rsid w:val="00C67141"/>
    <w:rsid w:val="00C70CB7"/>
    <w:rsid w:val="00C74683"/>
    <w:rsid w:val="00C7590A"/>
    <w:rsid w:val="00C81980"/>
    <w:rsid w:val="00C83D51"/>
    <w:rsid w:val="00C86C1D"/>
    <w:rsid w:val="00C87C3A"/>
    <w:rsid w:val="00C92C09"/>
    <w:rsid w:val="00C952F7"/>
    <w:rsid w:val="00C97D44"/>
    <w:rsid w:val="00CA258C"/>
    <w:rsid w:val="00CA4768"/>
    <w:rsid w:val="00CB0106"/>
    <w:rsid w:val="00CB0B37"/>
    <w:rsid w:val="00CB1557"/>
    <w:rsid w:val="00CB1869"/>
    <w:rsid w:val="00CB1EF5"/>
    <w:rsid w:val="00CB310F"/>
    <w:rsid w:val="00CB4282"/>
    <w:rsid w:val="00CB7235"/>
    <w:rsid w:val="00CD16B4"/>
    <w:rsid w:val="00CD307F"/>
    <w:rsid w:val="00CD333B"/>
    <w:rsid w:val="00CD3DE2"/>
    <w:rsid w:val="00CD40D5"/>
    <w:rsid w:val="00CD6C5E"/>
    <w:rsid w:val="00CE04EC"/>
    <w:rsid w:val="00CE22DD"/>
    <w:rsid w:val="00CE312C"/>
    <w:rsid w:val="00CE3199"/>
    <w:rsid w:val="00CE3523"/>
    <w:rsid w:val="00CE5C8D"/>
    <w:rsid w:val="00CF399E"/>
    <w:rsid w:val="00CF42F1"/>
    <w:rsid w:val="00D0136D"/>
    <w:rsid w:val="00D01898"/>
    <w:rsid w:val="00D06325"/>
    <w:rsid w:val="00D12C6D"/>
    <w:rsid w:val="00D20EF2"/>
    <w:rsid w:val="00D236F5"/>
    <w:rsid w:val="00D24ED3"/>
    <w:rsid w:val="00D301E0"/>
    <w:rsid w:val="00D315B0"/>
    <w:rsid w:val="00D31648"/>
    <w:rsid w:val="00D31688"/>
    <w:rsid w:val="00D31F0A"/>
    <w:rsid w:val="00D33FCC"/>
    <w:rsid w:val="00D34AD0"/>
    <w:rsid w:val="00D412D6"/>
    <w:rsid w:val="00D44526"/>
    <w:rsid w:val="00D5107B"/>
    <w:rsid w:val="00D53875"/>
    <w:rsid w:val="00D54462"/>
    <w:rsid w:val="00D5521C"/>
    <w:rsid w:val="00D567EF"/>
    <w:rsid w:val="00D6397F"/>
    <w:rsid w:val="00D645D2"/>
    <w:rsid w:val="00D6614A"/>
    <w:rsid w:val="00D674C9"/>
    <w:rsid w:val="00D67FD0"/>
    <w:rsid w:val="00D70E43"/>
    <w:rsid w:val="00D73A04"/>
    <w:rsid w:val="00D83E96"/>
    <w:rsid w:val="00D90E02"/>
    <w:rsid w:val="00D91BC3"/>
    <w:rsid w:val="00D962C5"/>
    <w:rsid w:val="00DA3381"/>
    <w:rsid w:val="00DA4EA3"/>
    <w:rsid w:val="00DA61CB"/>
    <w:rsid w:val="00DB14A8"/>
    <w:rsid w:val="00DB5DE3"/>
    <w:rsid w:val="00DB7609"/>
    <w:rsid w:val="00DC0D10"/>
    <w:rsid w:val="00DD02FD"/>
    <w:rsid w:val="00DD12B5"/>
    <w:rsid w:val="00DD2AD6"/>
    <w:rsid w:val="00DD4BA3"/>
    <w:rsid w:val="00DD64D1"/>
    <w:rsid w:val="00DE7B60"/>
    <w:rsid w:val="00DF123D"/>
    <w:rsid w:val="00DF2AF2"/>
    <w:rsid w:val="00E0193B"/>
    <w:rsid w:val="00E03DBB"/>
    <w:rsid w:val="00E0604B"/>
    <w:rsid w:val="00E07CF7"/>
    <w:rsid w:val="00E1059D"/>
    <w:rsid w:val="00E120EB"/>
    <w:rsid w:val="00E12118"/>
    <w:rsid w:val="00E128CE"/>
    <w:rsid w:val="00E15C48"/>
    <w:rsid w:val="00E20F35"/>
    <w:rsid w:val="00E22BC8"/>
    <w:rsid w:val="00E24306"/>
    <w:rsid w:val="00E2529D"/>
    <w:rsid w:val="00E27000"/>
    <w:rsid w:val="00E27679"/>
    <w:rsid w:val="00E335E8"/>
    <w:rsid w:val="00E36BB1"/>
    <w:rsid w:val="00E37556"/>
    <w:rsid w:val="00E41445"/>
    <w:rsid w:val="00E41A31"/>
    <w:rsid w:val="00E44AA4"/>
    <w:rsid w:val="00E45F1C"/>
    <w:rsid w:val="00E479BE"/>
    <w:rsid w:val="00E52134"/>
    <w:rsid w:val="00E53B70"/>
    <w:rsid w:val="00E62F6E"/>
    <w:rsid w:val="00E7069A"/>
    <w:rsid w:val="00E723F0"/>
    <w:rsid w:val="00E73188"/>
    <w:rsid w:val="00E73406"/>
    <w:rsid w:val="00E7443E"/>
    <w:rsid w:val="00E767FB"/>
    <w:rsid w:val="00E8406D"/>
    <w:rsid w:val="00E85CC3"/>
    <w:rsid w:val="00E875B1"/>
    <w:rsid w:val="00E95418"/>
    <w:rsid w:val="00EA08DD"/>
    <w:rsid w:val="00EA189D"/>
    <w:rsid w:val="00EA645E"/>
    <w:rsid w:val="00EB3521"/>
    <w:rsid w:val="00EB40C4"/>
    <w:rsid w:val="00EB5FBE"/>
    <w:rsid w:val="00EC26A5"/>
    <w:rsid w:val="00EC3E8F"/>
    <w:rsid w:val="00EC6CE4"/>
    <w:rsid w:val="00ED40A9"/>
    <w:rsid w:val="00ED54AE"/>
    <w:rsid w:val="00ED6771"/>
    <w:rsid w:val="00ED7E4E"/>
    <w:rsid w:val="00EE73E1"/>
    <w:rsid w:val="00F02125"/>
    <w:rsid w:val="00F04E59"/>
    <w:rsid w:val="00F055B7"/>
    <w:rsid w:val="00F0751B"/>
    <w:rsid w:val="00F0781B"/>
    <w:rsid w:val="00F105C6"/>
    <w:rsid w:val="00F11F3A"/>
    <w:rsid w:val="00F2083E"/>
    <w:rsid w:val="00F22BC0"/>
    <w:rsid w:val="00F304D5"/>
    <w:rsid w:val="00F34A18"/>
    <w:rsid w:val="00F438AE"/>
    <w:rsid w:val="00F47120"/>
    <w:rsid w:val="00F5348B"/>
    <w:rsid w:val="00F536D2"/>
    <w:rsid w:val="00F552A7"/>
    <w:rsid w:val="00F569CB"/>
    <w:rsid w:val="00F638E6"/>
    <w:rsid w:val="00F66D45"/>
    <w:rsid w:val="00F675C2"/>
    <w:rsid w:val="00F721D5"/>
    <w:rsid w:val="00F7322F"/>
    <w:rsid w:val="00F75450"/>
    <w:rsid w:val="00F76F72"/>
    <w:rsid w:val="00F83031"/>
    <w:rsid w:val="00F83F14"/>
    <w:rsid w:val="00F865D1"/>
    <w:rsid w:val="00F865D2"/>
    <w:rsid w:val="00F97F48"/>
    <w:rsid w:val="00FA0706"/>
    <w:rsid w:val="00FA2F3A"/>
    <w:rsid w:val="00FA3AB3"/>
    <w:rsid w:val="00FA4632"/>
    <w:rsid w:val="00FA69AC"/>
    <w:rsid w:val="00FA7F30"/>
    <w:rsid w:val="00FB0D56"/>
    <w:rsid w:val="00FB13AC"/>
    <w:rsid w:val="00FB262A"/>
    <w:rsid w:val="00FB29E6"/>
    <w:rsid w:val="00FB3611"/>
    <w:rsid w:val="00FB43E9"/>
    <w:rsid w:val="00FB4F5B"/>
    <w:rsid w:val="00FB52AB"/>
    <w:rsid w:val="00FB5898"/>
    <w:rsid w:val="00FB78B1"/>
    <w:rsid w:val="00FC0F8F"/>
    <w:rsid w:val="00FC1B4D"/>
    <w:rsid w:val="00FC4B71"/>
    <w:rsid w:val="00FC718A"/>
    <w:rsid w:val="00FD1EE8"/>
    <w:rsid w:val="00FD1EF0"/>
    <w:rsid w:val="00FD2729"/>
    <w:rsid w:val="00FD3AE3"/>
    <w:rsid w:val="00FE09BF"/>
    <w:rsid w:val="00FE77B4"/>
    <w:rsid w:val="00FF010E"/>
    <w:rsid w:val="00FF0AAE"/>
    <w:rsid w:val="00FF0BCF"/>
    <w:rsid w:val="00FF20E3"/>
    <w:rsid w:val="00FF5B9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3441"/>
    <w:pPr>
      <w:ind w:left="720"/>
      <w:contextualSpacing/>
    </w:pPr>
  </w:style>
  <w:style w:type="character" w:styleId="a4">
    <w:name w:val="Placeholder Text"/>
    <w:basedOn w:val="a0"/>
    <w:uiPriority w:val="99"/>
    <w:semiHidden/>
    <w:rsid w:val="008570A7"/>
    <w:rPr>
      <w:color w:val="808080"/>
    </w:rPr>
  </w:style>
  <w:style w:type="paragraph" w:styleId="a5">
    <w:name w:val="Balloon Text"/>
    <w:basedOn w:val="a"/>
    <w:link w:val="Char"/>
    <w:uiPriority w:val="99"/>
    <w:semiHidden/>
    <w:unhideWhenUsed/>
    <w:rsid w:val="008570A7"/>
    <w:pPr>
      <w:spacing w:after="0" w:line="240" w:lineRule="auto"/>
    </w:pPr>
    <w:rPr>
      <w:rFonts w:ascii="Tahoma" w:hAnsi="Tahoma" w:cs="Tahoma"/>
      <w:sz w:val="16"/>
      <w:szCs w:val="16"/>
    </w:rPr>
  </w:style>
  <w:style w:type="character" w:customStyle="1" w:styleId="Char">
    <w:name w:val="풍선 도움말 텍스트 Char"/>
    <w:basedOn w:val="a0"/>
    <w:link w:val="a5"/>
    <w:uiPriority w:val="99"/>
    <w:semiHidden/>
    <w:rsid w:val="008570A7"/>
    <w:rPr>
      <w:rFonts w:ascii="Tahoma" w:hAnsi="Tahoma" w:cs="Tahoma"/>
      <w:sz w:val="16"/>
      <w:szCs w:val="16"/>
    </w:rPr>
  </w:style>
  <w:style w:type="table" w:styleId="a6">
    <w:name w:val="Table Grid"/>
    <w:basedOn w:val="a1"/>
    <w:uiPriority w:val="59"/>
    <w:rsid w:val="00D962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Char0"/>
    <w:uiPriority w:val="99"/>
    <w:unhideWhenUsed/>
    <w:rsid w:val="002B00BB"/>
    <w:pPr>
      <w:tabs>
        <w:tab w:val="center" w:pos="4680"/>
        <w:tab w:val="right" w:pos="9360"/>
      </w:tabs>
      <w:spacing w:after="0" w:line="240" w:lineRule="auto"/>
    </w:pPr>
  </w:style>
  <w:style w:type="character" w:customStyle="1" w:styleId="Char0">
    <w:name w:val="머리글 Char"/>
    <w:basedOn w:val="a0"/>
    <w:link w:val="a7"/>
    <w:uiPriority w:val="99"/>
    <w:rsid w:val="002B00BB"/>
  </w:style>
  <w:style w:type="paragraph" w:styleId="a8">
    <w:name w:val="footer"/>
    <w:basedOn w:val="a"/>
    <w:link w:val="Char1"/>
    <w:uiPriority w:val="99"/>
    <w:unhideWhenUsed/>
    <w:rsid w:val="002B00BB"/>
    <w:pPr>
      <w:tabs>
        <w:tab w:val="center" w:pos="4680"/>
        <w:tab w:val="right" w:pos="9360"/>
      </w:tabs>
      <w:spacing w:after="0" w:line="240" w:lineRule="auto"/>
    </w:pPr>
  </w:style>
  <w:style w:type="character" w:customStyle="1" w:styleId="Char1">
    <w:name w:val="바닥글 Char"/>
    <w:basedOn w:val="a0"/>
    <w:link w:val="a8"/>
    <w:uiPriority w:val="99"/>
    <w:rsid w:val="002B00BB"/>
  </w:style>
  <w:style w:type="paragraph" w:styleId="a9">
    <w:name w:val="footnote text"/>
    <w:basedOn w:val="a"/>
    <w:link w:val="Char2"/>
    <w:uiPriority w:val="99"/>
    <w:unhideWhenUsed/>
    <w:rsid w:val="00337B12"/>
    <w:pPr>
      <w:spacing w:after="0" w:line="240" w:lineRule="auto"/>
    </w:pPr>
    <w:rPr>
      <w:sz w:val="20"/>
      <w:szCs w:val="20"/>
    </w:rPr>
  </w:style>
  <w:style w:type="character" w:customStyle="1" w:styleId="Char2">
    <w:name w:val="각주 텍스트 Char"/>
    <w:basedOn w:val="a0"/>
    <w:link w:val="a9"/>
    <w:uiPriority w:val="99"/>
    <w:rsid w:val="00337B12"/>
    <w:rPr>
      <w:sz w:val="20"/>
      <w:szCs w:val="20"/>
    </w:rPr>
  </w:style>
  <w:style w:type="character" w:styleId="aa">
    <w:name w:val="footnote reference"/>
    <w:basedOn w:val="a0"/>
    <w:uiPriority w:val="99"/>
    <w:semiHidden/>
    <w:unhideWhenUsed/>
    <w:rsid w:val="00337B12"/>
    <w:rPr>
      <w:vertAlign w:val="superscript"/>
    </w:rPr>
  </w:style>
  <w:style w:type="paragraph" w:styleId="ab">
    <w:name w:val="endnote text"/>
    <w:basedOn w:val="a"/>
    <w:link w:val="Char3"/>
    <w:uiPriority w:val="99"/>
    <w:semiHidden/>
    <w:unhideWhenUsed/>
    <w:rsid w:val="00AD41B3"/>
    <w:pPr>
      <w:spacing w:after="0" w:line="240" w:lineRule="auto"/>
    </w:pPr>
    <w:rPr>
      <w:sz w:val="20"/>
      <w:szCs w:val="20"/>
    </w:rPr>
  </w:style>
  <w:style w:type="character" w:customStyle="1" w:styleId="Char3">
    <w:name w:val="미주 텍스트 Char"/>
    <w:basedOn w:val="a0"/>
    <w:link w:val="ab"/>
    <w:uiPriority w:val="99"/>
    <w:semiHidden/>
    <w:rsid w:val="00AD41B3"/>
    <w:rPr>
      <w:sz w:val="20"/>
      <w:szCs w:val="20"/>
    </w:rPr>
  </w:style>
  <w:style w:type="character" w:styleId="ac">
    <w:name w:val="endnote reference"/>
    <w:basedOn w:val="a0"/>
    <w:uiPriority w:val="99"/>
    <w:semiHidden/>
    <w:unhideWhenUsed/>
    <w:rsid w:val="00AD41B3"/>
    <w:rPr>
      <w:vertAlign w:val="superscript"/>
    </w:rPr>
  </w:style>
  <w:style w:type="character" w:styleId="ad">
    <w:name w:val="Hyperlink"/>
    <w:basedOn w:val="a0"/>
    <w:uiPriority w:val="99"/>
    <w:unhideWhenUsed/>
    <w:rsid w:val="006D3ED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3441"/>
    <w:pPr>
      <w:ind w:left="720"/>
      <w:contextualSpacing/>
    </w:pPr>
  </w:style>
  <w:style w:type="character" w:styleId="a4">
    <w:name w:val="Placeholder Text"/>
    <w:basedOn w:val="a0"/>
    <w:uiPriority w:val="99"/>
    <w:semiHidden/>
    <w:rsid w:val="008570A7"/>
    <w:rPr>
      <w:color w:val="808080"/>
    </w:rPr>
  </w:style>
  <w:style w:type="paragraph" w:styleId="a5">
    <w:name w:val="Balloon Text"/>
    <w:basedOn w:val="a"/>
    <w:link w:val="Char"/>
    <w:uiPriority w:val="99"/>
    <w:semiHidden/>
    <w:unhideWhenUsed/>
    <w:rsid w:val="008570A7"/>
    <w:pPr>
      <w:spacing w:after="0" w:line="240" w:lineRule="auto"/>
    </w:pPr>
    <w:rPr>
      <w:rFonts w:ascii="Tahoma" w:hAnsi="Tahoma" w:cs="Tahoma"/>
      <w:sz w:val="16"/>
      <w:szCs w:val="16"/>
    </w:rPr>
  </w:style>
  <w:style w:type="character" w:customStyle="1" w:styleId="Char">
    <w:name w:val="풍선 도움말 텍스트 Char"/>
    <w:basedOn w:val="a0"/>
    <w:link w:val="a5"/>
    <w:uiPriority w:val="99"/>
    <w:semiHidden/>
    <w:rsid w:val="008570A7"/>
    <w:rPr>
      <w:rFonts w:ascii="Tahoma" w:hAnsi="Tahoma" w:cs="Tahoma"/>
      <w:sz w:val="16"/>
      <w:szCs w:val="16"/>
    </w:rPr>
  </w:style>
  <w:style w:type="table" w:styleId="a6">
    <w:name w:val="Table Grid"/>
    <w:basedOn w:val="a1"/>
    <w:uiPriority w:val="59"/>
    <w:rsid w:val="00D962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Char0"/>
    <w:uiPriority w:val="99"/>
    <w:unhideWhenUsed/>
    <w:rsid w:val="002B00BB"/>
    <w:pPr>
      <w:tabs>
        <w:tab w:val="center" w:pos="4680"/>
        <w:tab w:val="right" w:pos="9360"/>
      </w:tabs>
      <w:spacing w:after="0" w:line="240" w:lineRule="auto"/>
    </w:pPr>
  </w:style>
  <w:style w:type="character" w:customStyle="1" w:styleId="Char0">
    <w:name w:val="머리글 Char"/>
    <w:basedOn w:val="a0"/>
    <w:link w:val="a7"/>
    <w:uiPriority w:val="99"/>
    <w:rsid w:val="002B00BB"/>
  </w:style>
  <w:style w:type="paragraph" w:styleId="a8">
    <w:name w:val="footer"/>
    <w:basedOn w:val="a"/>
    <w:link w:val="Char1"/>
    <w:uiPriority w:val="99"/>
    <w:unhideWhenUsed/>
    <w:rsid w:val="002B00BB"/>
    <w:pPr>
      <w:tabs>
        <w:tab w:val="center" w:pos="4680"/>
        <w:tab w:val="right" w:pos="9360"/>
      </w:tabs>
      <w:spacing w:after="0" w:line="240" w:lineRule="auto"/>
    </w:pPr>
  </w:style>
  <w:style w:type="character" w:customStyle="1" w:styleId="Char1">
    <w:name w:val="바닥글 Char"/>
    <w:basedOn w:val="a0"/>
    <w:link w:val="a8"/>
    <w:uiPriority w:val="99"/>
    <w:rsid w:val="002B00BB"/>
  </w:style>
  <w:style w:type="paragraph" w:styleId="a9">
    <w:name w:val="footnote text"/>
    <w:basedOn w:val="a"/>
    <w:link w:val="Char2"/>
    <w:uiPriority w:val="99"/>
    <w:unhideWhenUsed/>
    <w:rsid w:val="00337B12"/>
    <w:pPr>
      <w:spacing w:after="0" w:line="240" w:lineRule="auto"/>
    </w:pPr>
    <w:rPr>
      <w:sz w:val="20"/>
      <w:szCs w:val="20"/>
    </w:rPr>
  </w:style>
  <w:style w:type="character" w:customStyle="1" w:styleId="Char2">
    <w:name w:val="각주 텍스트 Char"/>
    <w:basedOn w:val="a0"/>
    <w:link w:val="a9"/>
    <w:uiPriority w:val="99"/>
    <w:rsid w:val="00337B12"/>
    <w:rPr>
      <w:sz w:val="20"/>
      <w:szCs w:val="20"/>
    </w:rPr>
  </w:style>
  <w:style w:type="character" w:styleId="aa">
    <w:name w:val="footnote reference"/>
    <w:basedOn w:val="a0"/>
    <w:uiPriority w:val="99"/>
    <w:semiHidden/>
    <w:unhideWhenUsed/>
    <w:rsid w:val="00337B12"/>
    <w:rPr>
      <w:vertAlign w:val="superscript"/>
    </w:rPr>
  </w:style>
  <w:style w:type="paragraph" w:styleId="ab">
    <w:name w:val="endnote text"/>
    <w:basedOn w:val="a"/>
    <w:link w:val="Char3"/>
    <w:uiPriority w:val="99"/>
    <w:semiHidden/>
    <w:unhideWhenUsed/>
    <w:rsid w:val="00AD41B3"/>
    <w:pPr>
      <w:spacing w:after="0" w:line="240" w:lineRule="auto"/>
    </w:pPr>
    <w:rPr>
      <w:sz w:val="20"/>
      <w:szCs w:val="20"/>
    </w:rPr>
  </w:style>
  <w:style w:type="character" w:customStyle="1" w:styleId="Char3">
    <w:name w:val="미주 텍스트 Char"/>
    <w:basedOn w:val="a0"/>
    <w:link w:val="ab"/>
    <w:uiPriority w:val="99"/>
    <w:semiHidden/>
    <w:rsid w:val="00AD41B3"/>
    <w:rPr>
      <w:sz w:val="20"/>
      <w:szCs w:val="20"/>
    </w:rPr>
  </w:style>
  <w:style w:type="character" w:styleId="ac">
    <w:name w:val="endnote reference"/>
    <w:basedOn w:val="a0"/>
    <w:uiPriority w:val="99"/>
    <w:semiHidden/>
    <w:unhideWhenUsed/>
    <w:rsid w:val="00AD41B3"/>
    <w:rPr>
      <w:vertAlign w:val="superscript"/>
    </w:rPr>
  </w:style>
  <w:style w:type="character" w:styleId="ad">
    <w:name w:val="Hyperlink"/>
    <w:basedOn w:val="a0"/>
    <w:uiPriority w:val="99"/>
    <w:unhideWhenUsed/>
    <w:rsid w:val="006D3E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854078">
      <w:bodyDiv w:val="1"/>
      <w:marLeft w:val="120"/>
      <w:marRight w:val="120"/>
      <w:marTop w:val="0"/>
      <w:marBottom w:val="0"/>
      <w:divBdr>
        <w:top w:val="none" w:sz="0" w:space="0" w:color="auto"/>
        <w:left w:val="none" w:sz="0" w:space="0" w:color="auto"/>
        <w:bottom w:val="none" w:sz="0" w:space="0" w:color="auto"/>
        <w:right w:val="none" w:sz="0" w:space="0" w:color="auto"/>
      </w:divBdr>
    </w:div>
    <w:div w:id="282201718">
      <w:bodyDiv w:val="1"/>
      <w:marLeft w:val="0"/>
      <w:marRight w:val="0"/>
      <w:marTop w:val="0"/>
      <w:marBottom w:val="0"/>
      <w:divBdr>
        <w:top w:val="none" w:sz="0" w:space="0" w:color="auto"/>
        <w:left w:val="none" w:sz="0" w:space="0" w:color="auto"/>
        <w:bottom w:val="none" w:sz="0" w:space="0" w:color="auto"/>
        <w:right w:val="none" w:sz="0" w:space="0" w:color="auto"/>
      </w:divBdr>
    </w:div>
    <w:div w:id="402680450">
      <w:bodyDiv w:val="1"/>
      <w:marLeft w:val="0"/>
      <w:marRight w:val="0"/>
      <w:marTop w:val="0"/>
      <w:marBottom w:val="0"/>
      <w:divBdr>
        <w:top w:val="none" w:sz="0" w:space="0" w:color="auto"/>
        <w:left w:val="none" w:sz="0" w:space="0" w:color="auto"/>
        <w:bottom w:val="none" w:sz="0" w:space="0" w:color="auto"/>
        <w:right w:val="none" w:sz="0" w:space="0" w:color="auto"/>
      </w:divBdr>
    </w:div>
    <w:div w:id="431239916">
      <w:bodyDiv w:val="1"/>
      <w:marLeft w:val="0"/>
      <w:marRight w:val="0"/>
      <w:marTop w:val="0"/>
      <w:marBottom w:val="0"/>
      <w:divBdr>
        <w:top w:val="none" w:sz="0" w:space="0" w:color="auto"/>
        <w:left w:val="none" w:sz="0" w:space="0" w:color="auto"/>
        <w:bottom w:val="none" w:sz="0" w:space="0" w:color="auto"/>
        <w:right w:val="none" w:sz="0" w:space="0" w:color="auto"/>
      </w:divBdr>
      <w:divsChild>
        <w:div w:id="390429155">
          <w:marLeft w:val="0"/>
          <w:marRight w:val="0"/>
          <w:marTop w:val="0"/>
          <w:marBottom w:val="0"/>
          <w:divBdr>
            <w:top w:val="none" w:sz="0" w:space="0" w:color="auto"/>
            <w:left w:val="none" w:sz="0" w:space="0" w:color="auto"/>
            <w:bottom w:val="none" w:sz="0" w:space="0" w:color="auto"/>
            <w:right w:val="none" w:sz="0" w:space="0" w:color="auto"/>
          </w:divBdr>
          <w:divsChild>
            <w:div w:id="125509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374423">
      <w:bodyDiv w:val="1"/>
      <w:marLeft w:val="0"/>
      <w:marRight w:val="0"/>
      <w:marTop w:val="0"/>
      <w:marBottom w:val="0"/>
      <w:divBdr>
        <w:top w:val="none" w:sz="0" w:space="0" w:color="auto"/>
        <w:left w:val="none" w:sz="0" w:space="0" w:color="auto"/>
        <w:bottom w:val="none" w:sz="0" w:space="0" w:color="auto"/>
        <w:right w:val="none" w:sz="0" w:space="0" w:color="auto"/>
      </w:divBdr>
      <w:divsChild>
        <w:div w:id="2055503395">
          <w:marLeft w:val="0"/>
          <w:marRight w:val="0"/>
          <w:marTop w:val="0"/>
          <w:marBottom w:val="0"/>
          <w:divBdr>
            <w:top w:val="none" w:sz="0" w:space="0" w:color="auto"/>
            <w:left w:val="none" w:sz="0" w:space="0" w:color="auto"/>
            <w:bottom w:val="none" w:sz="0" w:space="0" w:color="auto"/>
            <w:right w:val="none" w:sz="0" w:space="0" w:color="auto"/>
          </w:divBdr>
          <w:divsChild>
            <w:div w:id="58970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107966">
      <w:bodyDiv w:val="1"/>
      <w:marLeft w:val="0"/>
      <w:marRight w:val="0"/>
      <w:marTop w:val="0"/>
      <w:marBottom w:val="0"/>
      <w:divBdr>
        <w:top w:val="none" w:sz="0" w:space="0" w:color="auto"/>
        <w:left w:val="none" w:sz="0" w:space="0" w:color="auto"/>
        <w:bottom w:val="none" w:sz="0" w:space="0" w:color="auto"/>
        <w:right w:val="none" w:sz="0" w:space="0" w:color="auto"/>
      </w:divBdr>
    </w:div>
    <w:div w:id="1666129671">
      <w:bodyDiv w:val="1"/>
      <w:marLeft w:val="0"/>
      <w:marRight w:val="0"/>
      <w:marTop w:val="0"/>
      <w:marBottom w:val="0"/>
      <w:divBdr>
        <w:top w:val="none" w:sz="0" w:space="0" w:color="auto"/>
        <w:left w:val="none" w:sz="0" w:space="0" w:color="auto"/>
        <w:bottom w:val="none" w:sz="0" w:space="0" w:color="auto"/>
        <w:right w:val="none" w:sz="0" w:space="0" w:color="auto"/>
      </w:divBdr>
    </w:div>
    <w:div w:id="1751805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90340B-33AB-4525-A8C0-B09488724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20</Pages>
  <Words>7491</Words>
  <Characters>42701</Characters>
  <Application>Microsoft Office Word</Application>
  <DocSecurity>0</DocSecurity>
  <Lines>355</Lines>
  <Paragraphs>100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Huntsman School of Business</Company>
  <LinksUpToDate>false</LinksUpToDate>
  <CharactersWithSpaces>50092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Austin Kwag</dc:creator>
  <cp:lastModifiedBy>sm</cp:lastModifiedBy>
  <cp:revision>6</cp:revision>
  <cp:lastPrinted>2011-05-10T04:03:00Z</cp:lastPrinted>
  <dcterms:created xsi:type="dcterms:W3CDTF">2013-03-22T07:18:00Z</dcterms:created>
  <dcterms:modified xsi:type="dcterms:W3CDTF">2013-03-22T08:16:00Z</dcterms:modified>
</cp:coreProperties>
</file>